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CE9B" w14:textId="0EDCE424" w:rsidR="00EF0076" w:rsidRPr="000611ED" w:rsidRDefault="00A103DE" w:rsidP="006F25CF">
      <w:pPr>
        <w:spacing w:line="300" w:lineRule="auto"/>
        <w:jc w:val="both"/>
        <w:rPr>
          <w:rFonts w:ascii="Arial" w:hAnsi="Arial" w:cs="Arial"/>
          <w:b/>
          <w:sz w:val="22"/>
          <w:szCs w:val="22"/>
        </w:rPr>
      </w:pPr>
      <w:r>
        <w:rPr>
          <w:rFonts w:ascii="Arial" w:hAnsi="Arial" w:cs="Arial"/>
          <w:b/>
          <w:sz w:val="22"/>
          <w:szCs w:val="22"/>
        </w:rPr>
        <w:t>Van zolderkamerproducer tot wereldster</w:t>
      </w:r>
    </w:p>
    <w:p w14:paraId="45B3A041" w14:textId="2197E6BD" w:rsidR="000611ED" w:rsidRPr="000611ED" w:rsidRDefault="000611ED" w:rsidP="006F25CF">
      <w:pPr>
        <w:spacing w:line="300" w:lineRule="auto"/>
        <w:jc w:val="both"/>
        <w:rPr>
          <w:rFonts w:ascii="Arial" w:hAnsi="Arial" w:cs="Arial"/>
          <w:b/>
          <w:sz w:val="22"/>
          <w:szCs w:val="22"/>
        </w:rPr>
      </w:pPr>
    </w:p>
    <w:p w14:paraId="51F5E3F0" w14:textId="6136573C" w:rsidR="000611ED" w:rsidRDefault="000611ED" w:rsidP="006F25CF">
      <w:pPr>
        <w:spacing w:line="300" w:lineRule="auto"/>
        <w:jc w:val="both"/>
        <w:rPr>
          <w:rFonts w:ascii="Arial" w:hAnsi="Arial" w:cs="Arial"/>
          <w:sz w:val="22"/>
          <w:szCs w:val="22"/>
        </w:rPr>
      </w:pPr>
    </w:p>
    <w:p w14:paraId="7CBD8BF5" w14:textId="69AE7821" w:rsidR="000611ED" w:rsidRDefault="000611ED" w:rsidP="006F25CF">
      <w:pPr>
        <w:spacing w:line="300" w:lineRule="auto"/>
        <w:jc w:val="both"/>
        <w:rPr>
          <w:rFonts w:ascii="Arial" w:hAnsi="Arial" w:cs="Arial"/>
          <w:sz w:val="22"/>
          <w:szCs w:val="22"/>
        </w:rPr>
      </w:pPr>
      <w:r>
        <w:rPr>
          <w:rFonts w:ascii="Arial" w:hAnsi="Arial" w:cs="Arial"/>
          <w:sz w:val="22"/>
          <w:szCs w:val="22"/>
        </w:rPr>
        <w:t>Bjorn Schipper</w:t>
      </w:r>
    </w:p>
    <w:p w14:paraId="3CD84F60" w14:textId="5169E1DA" w:rsidR="000611ED" w:rsidRDefault="000611ED" w:rsidP="006F25CF">
      <w:pPr>
        <w:spacing w:line="300" w:lineRule="auto"/>
        <w:jc w:val="both"/>
        <w:rPr>
          <w:rFonts w:ascii="Arial" w:hAnsi="Arial" w:cs="Arial"/>
          <w:sz w:val="22"/>
          <w:szCs w:val="22"/>
        </w:rPr>
      </w:pPr>
    </w:p>
    <w:p w14:paraId="660A4913" w14:textId="65436BD8" w:rsidR="000611ED" w:rsidRDefault="000611ED" w:rsidP="006F25CF">
      <w:pPr>
        <w:spacing w:line="300" w:lineRule="auto"/>
        <w:jc w:val="both"/>
        <w:rPr>
          <w:rFonts w:ascii="Arial" w:hAnsi="Arial" w:cs="Arial"/>
          <w:sz w:val="22"/>
          <w:szCs w:val="22"/>
        </w:rPr>
      </w:pPr>
      <w:r>
        <w:rPr>
          <w:rFonts w:ascii="Arial" w:hAnsi="Arial" w:cs="Arial"/>
          <w:sz w:val="22"/>
          <w:szCs w:val="22"/>
        </w:rPr>
        <w:t>Mr. B.H.M. Schipper is advocaat te Amsterdam (Schipper Legal).</w:t>
      </w:r>
    </w:p>
    <w:p w14:paraId="5A41F425" w14:textId="77777777" w:rsidR="000611ED" w:rsidRPr="000611ED" w:rsidRDefault="000611ED" w:rsidP="006F25CF">
      <w:pPr>
        <w:spacing w:line="300" w:lineRule="auto"/>
        <w:jc w:val="both"/>
        <w:rPr>
          <w:rFonts w:ascii="Arial" w:hAnsi="Arial" w:cs="Arial"/>
          <w:sz w:val="22"/>
          <w:szCs w:val="22"/>
        </w:rPr>
      </w:pPr>
    </w:p>
    <w:p w14:paraId="53E67622" w14:textId="77777777" w:rsidR="00DC6791" w:rsidRDefault="000611ED" w:rsidP="006F25CF">
      <w:pPr>
        <w:spacing w:line="30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intro</w:t>
      </w:r>
      <w:proofErr w:type="gramEnd"/>
      <w:r>
        <w:rPr>
          <w:rFonts w:ascii="Arial" w:hAnsi="Arial" w:cs="Arial"/>
          <w:sz w:val="22"/>
          <w:szCs w:val="22"/>
        </w:rPr>
        <w:t>]</w:t>
      </w:r>
      <w:r w:rsidR="00A103DE">
        <w:rPr>
          <w:rFonts w:ascii="Arial" w:hAnsi="Arial" w:cs="Arial"/>
          <w:sz w:val="22"/>
          <w:szCs w:val="22"/>
        </w:rPr>
        <w:t xml:space="preserve"> </w:t>
      </w:r>
    </w:p>
    <w:p w14:paraId="2B956274" w14:textId="77777777" w:rsidR="00DC6791" w:rsidRDefault="00DC6791" w:rsidP="006F25CF">
      <w:pPr>
        <w:spacing w:line="300" w:lineRule="auto"/>
        <w:jc w:val="both"/>
        <w:rPr>
          <w:rFonts w:ascii="Arial" w:hAnsi="Arial" w:cs="Arial"/>
          <w:sz w:val="22"/>
          <w:szCs w:val="22"/>
        </w:rPr>
      </w:pPr>
    </w:p>
    <w:p w14:paraId="0C7DB141" w14:textId="024715F0" w:rsidR="00830685" w:rsidRDefault="00AE28B3" w:rsidP="006F25CF">
      <w:pPr>
        <w:spacing w:line="300" w:lineRule="auto"/>
        <w:jc w:val="both"/>
        <w:rPr>
          <w:rFonts w:ascii="Arial" w:hAnsi="Arial" w:cs="Arial"/>
          <w:sz w:val="22"/>
          <w:szCs w:val="22"/>
        </w:rPr>
      </w:pPr>
      <w:r>
        <w:rPr>
          <w:rFonts w:ascii="Arial" w:hAnsi="Arial" w:cs="Arial"/>
          <w:sz w:val="22"/>
          <w:szCs w:val="22"/>
        </w:rPr>
        <w:t xml:space="preserve">Het </w:t>
      </w:r>
      <w:r w:rsidR="0037193C">
        <w:rPr>
          <w:rFonts w:ascii="Arial" w:hAnsi="Arial" w:cs="Arial"/>
          <w:sz w:val="22"/>
          <w:szCs w:val="22"/>
        </w:rPr>
        <w:t>Hof</w:t>
      </w:r>
      <w:r w:rsidR="001572BA">
        <w:rPr>
          <w:rFonts w:ascii="Arial" w:hAnsi="Arial" w:cs="Arial"/>
          <w:sz w:val="22"/>
          <w:szCs w:val="22"/>
        </w:rPr>
        <w:t xml:space="preserve"> oordeel</w:t>
      </w:r>
      <w:r w:rsidR="004E12AC">
        <w:rPr>
          <w:rFonts w:ascii="Arial" w:hAnsi="Arial" w:cs="Arial"/>
          <w:sz w:val="22"/>
          <w:szCs w:val="22"/>
        </w:rPr>
        <w:t>t</w:t>
      </w:r>
      <w:r w:rsidR="00E140D9">
        <w:rPr>
          <w:rFonts w:ascii="Arial" w:hAnsi="Arial" w:cs="Arial"/>
          <w:sz w:val="22"/>
          <w:szCs w:val="22"/>
        </w:rPr>
        <w:t xml:space="preserve"> </w:t>
      </w:r>
      <w:r w:rsidR="001572BA">
        <w:rPr>
          <w:rFonts w:ascii="Arial" w:hAnsi="Arial" w:cs="Arial"/>
          <w:sz w:val="22"/>
          <w:szCs w:val="22"/>
        </w:rPr>
        <w:t xml:space="preserve">dat artiest Martin </w:t>
      </w:r>
      <w:proofErr w:type="spellStart"/>
      <w:r w:rsidR="001572BA">
        <w:rPr>
          <w:rFonts w:ascii="Arial" w:hAnsi="Arial" w:cs="Arial"/>
          <w:sz w:val="22"/>
          <w:szCs w:val="22"/>
        </w:rPr>
        <w:t>Garrix</w:t>
      </w:r>
      <w:proofErr w:type="spellEnd"/>
      <w:r w:rsidR="001572BA">
        <w:rPr>
          <w:rFonts w:ascii="Arial" w:hAnsi="Arial" w:cs="Arial"/>
          <w:sz w:val="22"/>
          <w:szCs w:val="22"/>
        </w:rPr>
        <w:t xml:space="preserve"> bij het aangaan van zijn </w:t>
      </w:r>
      <w:r w:rsidR="0037193C">
        <w:rPr>
          <w:rFonts w:ascii="Arial" w:hAnsi="Arial" w:cs="Arial"/>
          <w:sz w:val="22"/>
          <w:szCs w:val="22"/>
        </w:rPr>
        <w:t xml:space="preserve">exclusieve </w:t>
      </w:r>
      <w:r w:rsidR="001572BA">
        <w:rPr>
          <w:rFonts w:ascii="Arial" w:hAnsi="Arial" w:cs="Arial"/>
          <w:sz w:val="22"/>
          <w:szCs w:val="22"/>
        </w:rPr>
        <w:t xml:space="preserve">management- en productieovereenkomsten met </w:t>
      </w:r>
      <w:r w:rsidR="0037193C">
        <w:rPr>
          <w:rFonts w:ascii="Arial" w:hAnsi="Arial" w:cs="Arial"/>
          <w:sz w:val="22"/>
          <w:szCs w:val="22"/>
        </w:rPr>
        <w:t xml:space="preserve">managementkantoor </w:t>
      </w:r>
      <w:proofErr w:type="spellStart"/>
      <w:r w:rsidR="00200B75">
        <w:rPr>
          <w:rFonts w:ascii="Arial" w:hAnsi="Arial" w:cs="Arial"/>
          <w:sz w:val="22"/>
          <w:szCs w:val="22"/>
        </w:rPr>
        <w:t>MusicAllStars</w:t>
      </w:r>
      <w:proofErr w:type="spellEnd"/>
      <w:r w:rsidR="00200B75">
        <w:rPr>
          <w:rFonts w:ascii="Arial" w:hAnsi="Arial" w:cs="Arial"/>
          <w:sz w:val="22"/>
          <w:szCs w:val="22"/>
        </w:rPr>
        <w:t xml:space="preserve"> Management (</w:t>
      </w:r>
      <w:r w:rsidR="001572BA">
        <w:rPr>
          <w:rFonts w:ascii="Arial" w:hAnsi="Arial" w:cs="Arial"/>
          <w:sz w:val="22"/>
          <w:szCs w:val="22"/>
        </w:rPr>
        <w:t>MAS Management</w:t>
      </w:r>
      <w:r w:rsidR="00200B75">
        <w:rPr>
          <w:rFonts w:ascii="Arial" w:hAnsi="Arial" w:cs="Arial"/>
          <w:sz w:val="22"/>
          <w:szCs w:val="22"/>
        </w:rPr>
        <w:t>)</w:t>
      </w:r>
      <w:r w:rsidR="0037193C">
        <w:rPr>
          <w:rFonts w:ascii="Arial" w:hAnsi="Arial" w:cs="Arial"/>
          <w:sz w:val="22"/>
          <w:szCs w:val="22"/>
        </w:rPr>
        <w:t xml:space="preserve"> respectievelijk</w:t>
      </w:r>
      <w:r w:rsidR="001572BA">
        <w:rPr>
          <w:rFonts w:ascii="Arial" w:hAnsi="Arial" w:cs="Arial"/>
          <w:sz w:val="22"/>
          <w:szCs w:val="22"/>
        </w:rPr>
        <w:t xml:space="preserve"> platenmaatschappij </w:t>
      </w:r>
      <w:proofErr w:type="spellStart"/>
      <w:r w:rsidR="001572BA">
        <w:rPr>
          <w:rFonts w:ascii="Arial" w:hAnsi="Arial" w:cs="Arial"/>
          <w:sz w:val="22"/>
          <w:szCs w:val="22"/>
        </w:rPr>
        <w:t>Spinnin</w:t>
      </w:r>
      <w:proofErr w:type="spellEnd"/>
      <w:r w:rsidR="001572BA">
        <w:rPr>
          <w:rFonts w:ascii="Arial" w:hAnsi="Arial" w:cs="Arial"/>
          <w:sz w:val="22"/>
          <w:szCs w:val="22"/>
        </w:rPr>
        <w:t xml:space="preserve">’ Records niet onjuist is voorgelicht of anderszins op het verkeerde been is gezet. Van bedrog of misbruik van omstandigheden is </w:t>
      </w:r>
      <w:r w:rsidR="0015592F">
        <w:rPr>
          <w:rFonts w:ascii="Arial" w:hAnsi="Arial" w:cs="Arial"/>
          <w:sz w:val="22"/>
          <w:szCs w:val="22"/>
        </w:rPr>
        <w:t xml:space="preserve">geen </w:t>
      </w:r>
      <w:r w:rsidR="001572BA">
        <w:rPr>
          <w:rFonts w:ascii="Arial" w:hAnsi="Arial" w:cs="Arial"/>
          <w:sz w:val="22"/>
          <w:szCs w:val="22"/>
        </w:rPr>
        <w:t>sprake</w:t>
      </w:r>
      <w:r w:rsidR="00E140D9">
        <w:rPr>
          <w:rFonts w:ascii="Arial" w:hAnsi="Arial" w:cs="Arial"/>
          <w:sz w:val="22"/>
          <w:szCs w:val="22"/>
        </w:rPr>
        <w:t xml:space="preserve">. </w:t>
      </w:r>
      <w:r w:rsidR="001572BA">
        <w:rPr>
          <w:rFonts w:ascii="Arial" w:hAnsi="Arial" w:cs="Arial"/>
          <w:sz w:val="22"/>
          <w:szCs w:val="22"/>
        </w:rPr>
        <w:t xml:space="preserve">De </w:t>
      </w:r>
      <w:r w:rsidR="0015592F">
        <w:rPr>
          <w:rFonts w:ascii="Arial" w:hAnsi="Arial" w:cs="Arial"/>
          <w:sz w:val="22"/>
          <w:szCs w:val="22"/>
        </w:rPr>
        <w:t xml:space="preserve">contractuele </w:t>
      </w:r>
      <w:r w:rsidR="001572BA">
        <w:rPr>
          <w:rFonts w:ascii="Arial" w:hAnsi="Arial" w:cs="Arial"/>
          <w:sz w:val="22"/>
          <w:szCs w:val="22"/>
        </w:rPr>
        <w:t>optie</w:t>
      </w:r>
      <w:r w:rsidR="0037193C">
        <w:rPr>
          <w:rFonts w:ascii="Arial" w:hAnsi="Arial" w:cs="Arial"/>
          <w:sz w:val="22"/>
          <w:szCs w:val="22"/>
        </w:rPr>
        <w:t>s</w:t>
      </w:r>
      <w:r w:rsidR="001572BA">
        <w:rPr>
          <w:rFonts w:ascii="Arial" w:hAnsi="Arial" w:cs="Arial"/>
          <w:sz w:val="22"/>
          <w:szCs w:val="22"/>
        </w:rPr>
        <w:t xml:space="preserve"> </w:t>
      </w:r>
      <w:r w:rsidR="00E140D9">
        <w:rPr>
          <w:rFonts w:ascii="Arial" w:hAnsi="Arial" w:cs="Arial"/>
          <w:sz w:val="22"/>
          <w:szCs w:val="22"/>
        </w:rPr>
        <w:t xml:space="preserve">van MAS Management en </w:t>
      </w:r>
      <w:proofErr w:type="spellStart"/>
      <w:r w:rsidR="00E140D9">
        <w:rPr>
          <w:rFonts w:ascii="Arial" w:hAnsi="Arial" w:cs="Arial"/>
          <w:sz w:val="22"/>
          <w:szCs w:val="22"/>
        </w:rPr>
        <w:t>Spinnin</w:t>
      </w:r>
      <w:proofErr w:type="spellEnd"/>
      <w:r w:rsidR="00E140D9">
        <w:rPr>
          <w:rFonts w:ascii="Arial" w:hAnsi="Arial" w:cs="Arial"/>
          <w:sz w:val="22"/>
          <w:szCs w:val="22"/>
        </w:rPr>
        <w:t xml:space="preserve">’ Records </w:t>
      </w:r>
      <w:r w:rsidR="001572BA">
        <w:rPr>
          <w:rFonts w:ascii="Arial" w:hAnsi="Arial" w:cs="Arial"/>
          <w:sz w:val="22"/>
          <w:szCs w:val="22"/>
        </w:rPr>
        <w:t xml:space="preserve">tot eenzijdige verlenging van </w:t>
      </w:r>
      <w:r w:rsidR="00830685">
        <w:rPr>
          <w:rFonts w:ascii="Arial" w:hAnsi="Arial" w:cs="Arial"/>
          <w:sz w:val="22"/>
          <w:szCs w:val="22"/>
        </w:rPr>
        <w:t>bei</w:t>
      </w:r>
      <w:r w:rsidR="001572BA">
        <w:rPr>
          <w:rFonts w:ascii="Arial" w:hAnsi="Arial" w:cs="Arial"/>
          <w:sz w:val="22"/>
          <w:szCs w:val="22"/>
        </w:rPr>
        <w:t xml:space="preserve">de overeenkomsten acht het Gerechtshof onder de gegeven feiten en omstandigheden nietig op grond van het auteurscontractenrecht en de nauwe samenhang tussen de overeenkomsten. Met betrekking tot de vraag wie in nabuurrechtelijke zin als de fonogrammenproducent van de </w:t>
      </w:r>
      <w:r w:rsidR="0015592F">
        <w:rPr>
          <w:rFonts w:ascii="Arial" w:hAnsi="Arial" w:cs="Arial"/>
          <w:sz w:val="22"/>
          <w:szCs w:val="22"/>
        </w:rPr>
        <w:t>opnamen</w:t>
      </w:r>
      <w:r w:rsidR="001572BA">
        <w:rPr>
          <w:rFonts w:ascii="Arial" w:hAnsi="Arial" w:cs="Arial"/>
          <w:sz w:val="22"/>
          <w:szCs w:val="22"/>
        </w:rPr>
        <w:t xml:space="preserve"> van </w:t>
      </w:r>
      <w:proofErr w:type="spellStart"/>
      <w:r w:rsidR="001572BA">
        <w:rPr>
          <w:rFonts w:ascii="Arial" w:hAnsi="Arial" w:cs="Arial"/>
          <w:sz w:val="22"/>
          <w:szCs w:val="22"/>
        </w:rPr>
        <w:t>Garrix</w:t>
      </w:r>
      <w:proofErr w:type="spellEnd"/>
      <w:r w:rsidR="001572BA">
        <w:rPr>
          <w:rFonts w:ascii="Arial" w:hAnsi="Arial" w:cs="Arial"/>
          <w:sz w:val="22"/>
          <w:szCs w:val="22"/>
        </w:rPr>
        <w:t xml:space="preserve"> </w:t>
      </w:r>
      <w:r w:rsidR="0015592F">
        <w:rPr>
          <w:rFonts w:ascii="Arial" w:hAnsi="Arial" w:cs="Arial"/>
          <w:sz w:val="22"/>
          <w:szCs w:val="22"/>
        </w:rPr>
        <w:t xml:space="preserve">aangemerkt </w:t>
      </w:r>
      <w:r w:rsidR="001572BA">
        <w:rPr>
          <w:rFonts w:ascii="Arial" w:hAnsi="Arial" w:cs="Arial"/>
          <w:sz w:val="22"/>
          <w:szCs w:val="22"/>
        </w:rPr>
        <w:t>moet worden, volgt het</w:t>
      </w:r>
      <w:r w:rsidR="0015592F">
        <w:rPr>
          <w:rFonts w:ascii="Arial" w:hAnsi="Arial" w:cs="Arial"/>
          <w:sz w:val="22"/>
          <w:szCs w:val="22"/>
        </w:rPr>
        <w:t xml:space="preserve"> Hof</w:t>
      </w:r>
      <w:r w:rsidR="001572BA">
        <w:rPr>
          <w:rFonts w:ascii="Arial" w:hAnsi="Arial" w:cs="Arial"/>
          <w:sz w:val="22"/>
          <w:szCs w:val="22"/>
        </w:rPr>
        <w:t xml:space="preserve"> de eerdere beslissing van de Rechtbank</w:t>
      </w:r>
      <w:r w:rsidR="001005D3">
        <w:rPr>
          <w:rFonts w:ascii="Arial" w:hAnsi="Arial" w:cs="Arial"/>
          <w:sz w:val="22"/>
          <w:szCs w:val="22"/>
        </w:rPr>
        <w:t>.</w:t>
      </w:r>
      <w:r w:rsidR="00B76A1D">
        <w:rPr>
          <w:rStyle w:val="Voetnootmarkering"/>
          <w:rFonts w:ascii="Arial" w:hAnsi="Arial" w:cs="Arial"/>
          <w:sz w:val="22"/>
          <w:szCs w:val="22"/>
        </w:rPr>
        <w:footnoteReference w:id="1"/>
      </w:r>
      <w:r w:rsidR="001572BA">
        <w:rPr>
          <w:rFonts w:ascii="Arial" w:hAnsi="Arial" w:cs="Arial"/>
          <w:sz w:val="22"/>
          <w:szCs w:val="22"/>
        </w:rPr>
        <w:t xml:space="preserve"> </w:t>
      </w:r>
      <w:r w:rsidR="00200B75">
        <w:rPr>
          <w:rFonts w:ascii="Arial" w:hAnsi="Arial" w:cs="Arial"/>
          <w:sz w:val="22"/>
          <w:szCs w:val="22"/>
        </w:rPr>
        <w:t xml:space="preserve">Nu </w:t>
      </w:r>
      <w:proofErr w:type="spellStart"/>
      <w:r w:rsidR="0015592F">
        <w:rPr>
          <w:rFonts w:ascii="Arial" w:hAnsi="Arial" w:cs="Arial"/>
          <w:sz w:val="22"/>
          <w:szCs w:val="22"/>
        </w:rPr>
        <w:t>Garrix</w:t>
      </w:r>
      <w:proofErr w:type="spellEnd"/>
      <w:r w:rsidR="0015592F">
        <w:rPr>
          <w:rFonts w:ascii="Arial" w:hAnsi="Arial" w:cs="Arial"/>
          <w:sz w:val="22"/>
          <w:szCs w:val="22"/>
        </w:rPr>
        <w:t xml:space="preserve"> feitelijk het initiatief tot en de verantwoordelijkheid voor de eerste vastlegging van de opnamen </w:t>
      </w:r>
      <w:r w:rsidR="00200B75">
        <w:rPr>
          <w:rFonts w:ascii="Arial" w:hAnsi="Arial" w:cs="Arial"/>
          <w:sz w:val="22"/>
          <w:szCs w:val="22"/>
        </w:rPr>
        <w:t xml:space="preserve">heeft </w:t>
      </w:r>
      <w:r w:rsidR="0015592F">
        <w:rPr>
          <w:rFonts w:ascii="Arial" w:hAnsi="Arial" w:cs="Arial"/>
          <w:sz w:val="22"/>
          <w:szCs w:val="22"/>
        </w:rPr>
        <w:t>genomen</w:t>
      </w:r>
      <w:r w:rsidR="00200B75">
        <w:rPr>
          <w:rFonts w:ascii="Arial" w:hAnsi="Arial" w:cs="Arial"/>
          <w:sz w:val="22"/>
          <w:szCs w:val="22"/>
        </w:rPr>
        <w:t xml:space="preserve">, </w:t>
      </w:r>
      <w:r w:rsidR="00DC49D6">
        <w:rPr>
          <w:rFonts w:ascii="Arial" w:hAnsi="Arial" w:cs="Arial"/>
          <w:sz w:val="22"/>
          <w:szCs w:val="22"/>
        </w:rPr>
        <w:t>behoort</w:t>
      </w:r>
      <w:r w:rsidR="00200B75">
        <w:rPr>
          <w:rFonts w:ascii="Arial" w:hAnsi="Arial" w:cs="Arial"/>
          <w:sz w:val="22"/>
          <w:szCs w:val="22"/>
        </w:rPr>
        <w:t xml:space="preserve"> hij </w:t>
      </w:r>
      <w:r w:rsidR="0015592F">
        <w:rPr>
          <w:rFonts w:ascii="Arial" w:hAnsi="Arial" w:cs="Arial"/>
          <w:sz w:val="22"/>
          <w:szCs w:val="22"/>
        </w:rPr>
        <w:t>vanwege de daarmee gemoeide risico</w:t>
      </w:r>
      <w:r w:rsidR="00DC49D6">
        <w:rPr>
          <w:rFonts w:ascii="Arial" w:hAnsi="Arial" w:cs="Arial"/>
          <w:sz w:val="22"/>
          <w:szCs w:val="22"/>
        </w:rPr>
        <w:t>’</w:t>
      </w:r>
      <w:r w:rsidR="0015592F">
        <w:rPr>
          <w:rFonts w:ascii="Arial" w:hAnsi="Arial" w:cs="Arial"/>
          <w:sz w:val="22"/>
          <w:szCs w:val="22"/>
        </w:rPr>
        <w:t xml:space="preserve">s </w:t>
      </w:r>
      <w:r w:rsidR="00DC49D6">
        <w:rPr>
          <w:rFonts w:ascii="Arial" w:hAnsi="Arial" w:cs="Arial"/>
          <w:sz w:val="22"/>
          <w:szCs w:val="22"/>
        </w:rPr>
        <w:t xml:space="preserve">als </w:t>
      </w:r>
      <w:r w:rsidR="0015592F">
        <w:rPr>
          <w:rFonts w:ascii="Arial" w:hAnsi="Arial" w:cs="Arial"/>
          <w:sz w:val="22"/>
          <w:szCs w:val="22"/>
        </w:rPr>
        <w:t>de fonogrammenproducent in</w:t>
      </w:r>
      <w:r w:rsidR="00DC49D6">
        <w:rPr>
          <w:rFonts w:ascii="Arial" w:hAnsi="Arial" w:cs="Arial"/>
          <w:sz w:val="22"/>
          <w:szCs w:val="22"/>
        </w:rPr>
        <w:t xml:space="preserve"> de zin van</w:t>
      </w:r>
      <w:r w:rsidR="0015592F">
        <w:rPr>
          <w:rFonts w:ascii="Arial" w:hAnsi="Arial" w:cs="Arial"/>
          <w:sz w:val="22"/>
          <w:szCs w:val="22"/>
        </w:rPr>
        <w:t xml:space="preserve"> artikel 6 Wet op de naburige rechten (</w:t>
      </w:r>
      <w:proofErr w:type="spellStart"/>
      <w:r w:rsidR="0015592F">
        <w:rPr>
          <w:rFonts w:ascii="Arial" w:hAnsi="Arial" w:cs="Arial"/>
          <w:sz w:val="22"/>
          <w:szCs w:val="22"/>
        </w:rPr>
        <w:t>Wnr</w:t>
      </w:r>
      <w:proofErr w:type="spellEnd"/>
      <w:r w:rsidR="0015592F">
        <w:rPr>
          <w:rFonts w:ascii="Arial" w:hAnsi="Arial" w:cs="Arial"/>
          <w:sz w:val="22"/>
          <w:szCs w:val="22"/>
        </w:rPr>
        <w:t>)</w:t>
      </w:r>
      <w:r w:rsidR="00DC49D6">
        <w:rPr>
          <w:rFonts w:ascii="Arial" w:hAnsi="Arial" w:cs="Arial"/>
          <w:sz w:val="22"/>
          <w:szCs w:val="22"/>
        </w:rPr>
        <w:t xml:space="preserve"> aangemerkt te worden</w:t>
      </w:r>
      <w:r w:rsidR="0015592F">
        <w:rPr>
          <w:rFonts w:ascii="Arial" w:hAnsi="Arial" w:cs="Arial"/>
          <w:sz w:val="22"/>
          <w:szCs w:val="22"/>
        </w:rPr>
        <w:t>.</w:t>
      </w:r>
      <w:r w:rsidR="00BC4D56">
        <w:rPr>
          <w:rFonts w:ascii="Arial" w:hAnsi="Arial" w:cs="Arial"/>
          <w:sz w:val="22"/>
          <w:szCs w:val="22"/>
        </w:rPr>
        <w:t xml:space="preserve"> </w:t>
      </w:r>
    </w:p>
    <w:p w14:paraId="1B458810" w14:textId="4CB7A96E" w:rsidR="00AE28B3" w:rsidRDefault="00AE28B3" w:rsidP="006F25CF">
      <w:pPr>
        <w:spacing w:line="300" w:lineRule="auto"/>
        <w:jc w:val="both"/>
        <w:rPr>
          <w:rFonts w:ascii="Arial" w:hAnsi="Arial" w:cs="Arial"/>
          <w:sz w:val="22"/>
          <w:szCs w:val="22"/>
        </w:rPr>
      </w:pPr>
    </w:p>
    <w:p w14:paraId="3CEBBC60" w14:textId="18913DB8" w:rsidR="008841B0" w:rsidRPr="008841B0" w:rsidRDefault="00D457EA" w:rsidP="006F25CF">
      <w:pPr>
        <w:spacing w:line="300" w:lineRule="auto"/>
        <w:jc w:val="both"/>
        <w:rPr>
          <w:rFonts w:ascii="Arial" w:hAnsi="Arial" w:cs="Arial"/>
          <w:b/>
          <w:bCs/>
          <w:sz w:val="22"/>
          <w:szCs w:val="22"/>
        </w:rPr>
      </w:pPr>
      <w:r>
        <w:rPr>
          <w:rFonts w:ascii="Arial" w:hAnsi="Arial" w:cs="Arial"/>
          <w:b/>
          <w:bCs/>
          <w:sz w:val="22"/>
          <w:szCs w:val="22"/>
        </w:rPr>
        <w:t>Succesvolle e</w:t>
      </w:r>
      <w:r w:rsidR="00607F36">
        <w:rPr>
          <w:rFonts w:ascii="Arial" w:hAnsi="Arial" w:cs="Arial"/>
          <w:b/>
          <w:bCs/>
          <w:sz w:val="22"/>
          <w:szCs w:val="22"/>
        </w:rPr>
        <w:t>xploitatiedriehoek</w:t>
      </w:r>
    </w:p>
    <w:p w14:paraId="364BAC91" w14:textId="7C21425E" w:rsidR="008841B0" w:rsidRDefault="00A103DE" w:rsidP="006F25CF">
      <w:pPr>
        <w:spacing w:line="300" w:lineRule="auto"/>
        <w:jc w:val="both"/>
        <w:rPr>
          <w:rFonts w:ascii="Arial" w:hAnsi="Arial" w:cs="Arial"/>
          <w:sz w:val="22"/>
          <w:szCs w:val="22"/>
        </w:rPr>
      </w:pPr>
      <w:r>
        <w:rPr>
          <w:rFonts w:ascii="Arial" w:hAnsi="Arial" w:cs="Arial"/>
          <w:sz w:val="22"/>
          <w:szCs w:val="22"/>
        </w:rPr>
        <w:t xml:space="preserve">De </w:t>
      </w:r>
      <w:r w:rsidR="008A16B1">
        <w:rPr>
          <w:rFonts w:ascii="Arial" w:hAnsi="Arial" w:cs="Arial"/>
          <w:sz w:val="22"/>
          <w:szCs w:val="22"/>
        </w:rPr>
        <w:t xml:space="preserve">langslepende </w:t>
      </w:r>
      <w:r w:rsidR="003771EB">
        <w:rPr>
          <w:rFonts w:ascii="Arial" w:hAnsi="Arial" w:cs="Arial"/>
          <w:sz w:val="22"/>
          <w:szCs w:val="22"/>
        </w:rPr>
        <w:t>bodemprocedure</w:t>
      </w:r>
      <w:r>
        <w:rPr>
          <w:rFonts w:ascii="Arial" w:hAnsi="Arial" w:cs="Arial"/>
          <w:sz w:val="22"/>
          <w:szCs w:val="22"/>
        </w:rPr>
        <w:t xml:space="preserve"> van </w:t>
      </w:r>
      <w:r w:rsidR="00643338" w:rsidRPr="00643338">
        <w:rPr>
          <w:rFonts w:ascii="Arial" w:hAnsi="Arial" w:cs="Arial"/>
          <w:i/>
          <w:sz w:val="22"/>
          <w:szCs w:val="22"/>
        </w:rPr>
        <w:t>deejay</w:t>
      </w:r>
      <w:r w:rsidR="004E12AC">
        <w:rPr>
          <w:rFonts w:ascii="Arial" w:hAnsi="Arial" w:cs="Arial"/>
          <w:sz w:val="22"/>
          <w:szCs w:val="22"/>
        </w:rPr>
        <w:t xml:space="preserve">, producer en </w:t>
      </w:r>
      <w:r>
        <w:rPr>
          <w:rFonts w:ascii="Arial" w:hAnsi="Arial" w:cs="Arial"/>
          <w:sz w:val="22"/>
          <w:szCs w:val="22"/>
        </w:rPr>
        <w:t xml:space="preserve">artiest Martin </w:t>
      </w:r>
      <w:proofErr w:type="spellStart"/>
      <w:r>
        <w:rPr>
          <w:rFonts w:ascii="Arial" w:hAnsi="Arial" w:cs="Arial"/>
          <w:sz w:val="22"/>
          <w:szCs w:val="22"/>
        </w:rPr>
        <w:t>Garrix</w:t>
      </w:r>
      <w:proofErr w:type="spellEnd"/>
      <w:r>
        <w:rPr>
          <w:rFonts w:ascii="Arial" w:hAnsi="Arial" w:cs="Arial"/>
          <w:sz w:val="22"/>
          <w:szCs w:val="22"/>
        </w:rPr>
        <w:t xml:space="preserve"> tegen zijn voormalige management</w:t>
      </w:r>
      <w:r w:rsidR="008A16B1">
        <w:rPr>
          <w:rFonts w:ascii="Arial" w:hAnsi="Arial" w:cs="Arial"/>
          <w:sz w:val="22"/>
          <w:szCs w:val="22"/>
        </w:rPr>
        <w:t>kantoor</w:t>
      </w:r>
      <w:r>
        <w:rPr>
          <w:rFonts w:ascii="Arial" w:hAnsi="Arial" w:cs="Arial"/>
          <w:sz w:val="22"/>
          <w:szCs w:val="22"/>
        </w:rPr>
        <w:t xml:space="preserve"> M</w:t>
      </w:r>
      <w:r w:rsidR="000E59A2">
        <w:rPr>
          <w:rFonts w:ascii="Arial" w:hAnsi="Arial" w:cs="Arial"/>
          <w:sz w:val="22"/>
          <w:szCs w:val="22"/>
        </w:rPr>
        <w:t xml:space="preserve">AS </w:t>
      </w:r>
      <w:r>
        <w:rPr>
          <w:rFonts w:ascii="Arial" w:hAnsi="Arial" w:cs="Arial"/>
          <w:sz w:val="22"/>
          <w:szCs w:val="22"/>
        </w:rPr>
        <w:t>Management en platen</w:t>
      </w:r>
      <w:r w:rsidR="00F704FE">
        <w:rPr>
          <w:rFonts w:ascii="Arial" w:hAnsi="Arial" w:cs="Arial"/>
          <w:sz w:val="22"/>
          <w:szCs w:val="22"/>
        </w:rPr>
        <w:t xml:space="preserve">maatschappij </w:t>
      </w:r>
      <w:proofErr w:type="spellStart"/>
      <w:r>
        <w:rPr>
          <w:rFonts w:ascii="Arial" w:hAnsi="Arial" w:cs="Arial"/>
          <w:sz w:val="22"/>
          <w:szCs w:val="22"/>
        </w:rPr>
        <w:t>Spinnin</w:t>
      </w:r>
      <w:proofErr w:type="spellEnd"/>
      <w:r>
        <w:rPr>
          <w:rFonts w:ascii="Arial" w:hAnsi="Arial" w:cs="Arial"/>
          <w:sz w:val="22"/>
          <w:szCs w:val="22"/>
        </w:rPr>
        <w:t>’ Records houdt de</w:t>
      </w:r>
      <w:r w:rsidR="008007CE">
        <w:rPr>
          <w:rFonts w:ascii="Arial" w:hAnsi="Arial" w:cs="Arial"/>
          <w:sz w:val="22"/>
          <w:szCs w:val="22"/>
        </w:rPr>
        <w:t xml:space="preserve"> gemoederen in de</w:t>
      </w:r>
      <w:r>
        <w:rPr>
          <w:rFonts w:ascii="Arial" w:hAnsi="Arial" w:cs="Arial"/>
          <w:sz w:val="22"/>
          <w:szCs w:val="22"/>
        </w:rPr>
        <w:t xml:space="preserve"> </w:t>
      </w:r>
      <w:r w:rsidR="00F704FE">
        <w:rPr>
          <w:rFonts w:ascii="Arial" w:hAnsi="Arial" w:cs="Arial"/>
          <w:sz w:val="22"/>
          <w:szCs w:val="22"/>
        </w:rPr>
        <w:t xml:space="preserve">Nederlandse </w:t>
      </w:r>
      <w:r>
        <w:rPr>
          <w:rFonts w:ascii="Arial" w:hAnsi="Arial" w:cs="Arial"/>
          <w:sz w:val="22"/>
          <w:szCs w:val="22"/>
        </w:rPr>
        <w:t>muziekindustrie bezig.</w:t>
      </w:r>
      <w:r w:rsidR="0074233E">
        <w:rPr>
          <w:rFonts w:ascii="Arial" w:hAnsi="Arial" w:cs="Arial"/>
          <w:sz w:val="22"/>
          <w:szCs w:val="22"/>
        </w:rPr>
        <w:t xml:space="preserve"> </w:t>
      </w:r>
      <w:r w:rsidR="008841B0">
        <w:rPr>
          <w:rFonts w:ascii="Arial" w:hAnsi="Arial" w:cs="Arial"/>
          <w:sz w:val="22"/>
          <w:szCs w:val="22"/>
        </w:rPr>
        <w:t>In 2012 en 2013 tekende de</w:t>
      </w:r>
      <w:r w:rsidR="00E47A65">
        <w:rPr>
          <w:rFonts w:ascii="Arial" w:hAnsi="Arial" w:cs="Arial"/>
          <w:sz w:val="22"/>
          <w:szCs w:val="22"/>
        </w:rPr>
        <w:t xml:space="preserve"> toen nog minderjarige</w:t>
      </w:r>
      <w:r w:rsidR="007F6247">
        <w:rPr>
          <w:rFonts w:ascii="Arial" w:hAnsi="Arial" w:cs="Arial"/>
          <w:sz w:val="22"/>
          <w:szCs w:val="22"/>
        </w:rPr>
        <w:t xml:space="preserve"> </w:t>
      </w:r>
      <w:proofErr w:type="spellStart"/>
      <w:r w:rsidR="008841B0">
        <w:rPr>
          <w:rFonts w:ascii="Arial" w:hAnsi="Arial" w:cs="Arial"/>
          <w:sz w:val="22"/>
          <w:szCs w:val="22"/>
        </w:rPr>
        <w:t>Garrix</w:t>
      </w:r>
      <w:proofErr w:type="spellEnd"/>
      <w:r w:rsidR="00E47A65">
        <w:rPr>
          <w:rFonts w:ascii="Arial" w:hAnsi="Arial" w:cs="Arial"/>
          <w:sz w:val="22"/>
          <w:szCs w:val="22"/>
        </w:rPr>
        <w:t xml:space="preserve"> samen met zijn vader een aantal exclusieve management- en productiecontracten met MAS Management respectievelijk </w:t>
      </w:r>
      <w:proofErr w:type="spellStart"/>
      <w:r w:rsidR="00E47A65">
        <w:rPr>
          <w:rFonts w:ascii="Arial" w:hAnsi="Arial" w:cs="Arial"/>
          <w:sz w:val="22"/>
          <w:szCs w:val="22"/>
        </w:rPr>
        <w:t>Spinnin</w:t>
      </w:r>
      <w:proofErr w:type="spellEnd"/>
      <w:r w:rsidR="00E47A65">
        <w:rPr>
          <w:rFonts w:ascii="Arial" w:hAnsi="Arial" w:cs="Arial"/>
          <w:sz w:val="22"/>
          <w:szCs w:val="22"/>
        </w:rPr>
        <w:t xml:space="preserve">’ Records. </w:t>
      </w:r>
      <w:r w:rsidR="00C30F71">
        <w:rPr>
          <w:rFonts w:ascii="Arial" w:hAnsi="Arial" w:cs="Arial"/>
          <w:sz w:val="22"/>
          <w:szCs w:val="22"/>
        </w:rPr>
        <w:t xml:space="preserve">Vader en zoon wonnen hiervoor eerst advies in van enkele in entertainmentrecht gespecialiseerde juristen. </w:t>
      </w:r>
      <w:r w:rsidR="00E47A65">
        <w:rPr>
          <w:rFonts w:ascii="Arial" w:hAnsi="Arial" w:cs="Arial"/>
          <w:sz w:val="22"/>
          <w:szCs w:val="22"/>
        </w:rPr>
        <w:t>Management en platenmaatschappij zijn</w:t>
      </w:r>
      <w:r w:rsidR="004E12AC">
        <w:rPr>
          <w:rFonts w:ascii="Arial" w:hAnsi="Arial" w:cs="Arial"/>
          <w:sz w:val="22"/>
          <w:szCs w:val="22"/>
        </w:rPr>
        <w:t xml:space="preserve">, net als muziekuitgeverij </w:t>
      </w:r>
      <w:proofErr w:type="spellStart"/>
      <w:r w:rsidR="004E12AC">
        <w:rPr>
          <w:rFonts w:ascii="Arial" w:hAnsi="Arial" w:cs="Arial"/>
          <w:sz w:val="22"/>
          <w:szCs w:val="22"/>
        </w:rPr>
        <w:t>MusicAllStars</w:t>
      </w:r>
      <w:proofErr w:type="spellEnd"/>
      <w:r w:rsidR="004E12AC">
        <w:rPr>
          <w:rFonts w:ascii="Arial" w:hAnsi="Arial" w:cs="Arial"/>
          <w:sz w:val="22"/>
          <w:szCs w:val="22"/>
        </w:rPr>
        <w:t xml:space="preserve"> Publishing,</w:t>
      </w:r>
      <w:r w:rsidR="00E47A65">
        <w:rPr>
          <w:rFonts w:ascii="Arial" w:hAnsi="Arial" w:cs="Arial"/>
          <w:sz w:val="22"/>
          <w:szCs w:val="22"/>
        </w:rPr>
        <w:t xml:space="preserve"> </w:t>
      </w:r>
      <w:r w:rsidR="00E140D9">
        <w:rPr>
          <w:rFonts w:ascii="Arial" w:hAnsi="Arial" w:cs="Arial"/>
          <w:sz w:val="22"/>
          <w:szCs w:val="22"/>
        </w:rPr>
        <w:t xml:space="preserve">nauw </w:t>
      </w:r>
      <w:r w:rsidR="004E12AC">
        <w:rPr>
          <w:rFonts w:ascii="Arial" w:hAnsi="Arial" w:cs="Arial"/>
          <w:sz w:val="22"/>
          <w:szCs w:val="22"/>
        </w:rPr>
        <w:t xml:space="preserve">met elkaar verweven ondernemingen die </w:t>
      </w:r>
      <w:r w:rsidR="008A16B1">
        <w:rPr>
          <w:rFonts w:ascii="Arial" w:hAnsi="Arial" w:cs="Arial"/>
          <w:sz w:val="22"/>
          <w:szCs w:val="22"/>
        </w:rPr>
        <w:t xml:space="preserve">in de praktijk </w:t>
      </w:r>
      <w:r w:rsidR="00896749">
        <w:rPr>
          <w:rFonts w:ascii="Arial" w:hAnsi="Arial" w:cs="Arial"/>
          <w:sz w:val="22"/>
          <w:szCs w:val="22"/>
        </w:rPr>
        <w:t>opereren als een</w:t>
      </w:r>
      <w:r w:rsidR="007F6247">
        <w:rPr>
          <w:rFonts w:ascii="Arial" w:hAnsi="Arial" w:cs="Arial"/>
          <w:sz w:val="22"/>
          <w:szCs w:val="22"/>
        </w:rPr>
        <w:t xml:space="preserve"> zogenaamde</w:t>
      </w:r>
      <w:r w:rsidR="00E47A65">
        <w:rPr>
          <w:rFonts w:ascii="Arial" w:hAnsi="Arial" w:cs="Arial"/>
          <w:sz w:val="22"/>
          <w:szCs w:val="22"/>
        </w:rPr>
        <w:t xml:space="preserve"> ‘exploitatiedriehoek’</w:t>
      </w:r>
      <w:r w:rsidR="004E12AC">
        <w:rPr>
          <w:rFonts w:ascii="Arial" w:hAnsi="Arial" w:cs="Arial"/>
          <w:sz w:val="22"/>
          <w:szCs w:val="22"/>
        </w:rPr>
        <w:t>. Daarbij worden</w:t>
      </w:r>
      <w:r w:rsidR="00BA342F">
        <w:rPr>
          <w:rFonts w:ascii="Arial" w:hAnsi="Arial" w:cs="Arial"/>
          <w:sz w:val="22"/>
          <w:szCs w:val="22"/>
        </w:rPr>
        <w:t xml:space="preserve"> </w:t>
      </w:r>
      <w:r w:rsidR="004E12AC">
        <w:rPr>
          <w:rFonts w:ascii="Arial" w:hAnsi="Arial" w:cs="Arial"/>
          <w:sz w:val="22"/>
          <w:szCs w:val="22"/>
        </w:rPr>
        <w:t>e</w:t>
      </w:r>
      <w:r w:rsidR="00E47A65">
        <w:rPr>
          <w:rFonts w:ascii="Arial" w:hAnsi="Arial" w:cs="Arial"/>
          <w:sz w:val="22"/>
          <w:szCs w:val="22"/>
        </w:rPr>
        <w:t xml:space="preserve">xploitatierechten van artiesten en auteurs </w:t>
      </w:r>
      <w:r w:rsidR="00BA342F">
        <w:rPr>
          <w:rFonts w:ascii="Arial" w:hAnsi="Arial" w:cs="Arial"/>
          <w:sz w:val="22"/>
          <w:szCs w:val="22"/>
        </w:rPr>
        <w:t xml:space="preserve">in onderlinge </w:t>
      </w:r>
      <w:r w:rsidR="00D4401E">
        <w:rPr>
          <w:rFonts w:ascii="Arial" w:hAnsi="Arial" w:cs="Arial"/>
          <w:sz w:val="22"/>
          <w:szCs w:val="22"/>
        </w:rPr>
        <w:t>afstemming</w:t>
      </w:r>
      <w:r w:rsidR="00BA342F">
        <w:rPr>
          <w:rFonts w:ascii="Arial" w:hAnsi="Arial" w:cs="Arial"/>
          <w:sz w:val="22"/>
          <w:szCs w:val="22"/>
        </w:rPr>
        <w:t xml:space="preserve"> </w:t>
      </w:r>
      <w:r w:rsidR="00E47A65">
        <w:rPr>
          <w:rFonts w:ascii="Arial" w:hAnsi="Arial" w:cs="Arial"/>
          <w:sz w:val="22"/>
          <w:szCs w:val="22"/>
        </w:rPr>
        <w:t>beheerd</w:t>
      </w:r>
      <w:r w:rsidR="00D4401E">
        <w:rPr>
          <w:rFonts w:ascii="Arial" w:hAnsi="Arial" w:cs="Arial"/>
          <w:sz w:val="22"/>
          <w:szCs w:val="22"/>
        </w:rPr>
        <w:t>, gepromoot</w:t>
      </w:r>
      <w:r w:rsidR="00E47A65">
        <w:rPr>
          <w:rFonts w:ascii="Arial" w:hAnsi="Arial" w:cs="Arial"/>
          <w:sz w:val="22"/>
          <w:szCs w:val="22"/>
        </w:rPr>
        <w:t xml:space="preserve"> en ge</w:t>
      </w:r>
      <w:r w:rsidR="00E140D9">
        <w:rPr>
          <w:rFonts w:ascii="Arial" w:hAnsi="Arial" w:cs="Arial"/>
          <w:sz w:val="22"/>
          <w:szCs w:val="22"/>
        </w:rPr>
        <w:t>ë</w:t>
      </w:r>
      <w:r w:rsidR="00E47A65">
        <w:rPr>
          <w:rFonts w:ascii="Arial" w:hAnsi="Arial" w:cs="Arial"/>
          <w:sz w:val="22"/>
          <w:szCs w:val="22"/>
        </w:rPr>
        <w:t>xploiteerd</w:t>
      </w:r>
      <w:r w:rsidR="001005D3">
        <w:rPr>
          <w:rFonts w:ascii="Arial" w:hAnsi="Arial" w:cs="Arial"/>
          <w:sz w:val="22"/>
          <w:szCs w:val="22"/>
        </w:rPr>
        <w:t>.</w:t>
      </w:r>
      <w:r w:rsidR="00607F36">
        <w:rPr>
          <w:rStyle w:val="Voetnootmarkering"/>
          <w:rFonts w:ascii="Arial" w:hAnsi="Arial" w:cs="Arial"/>
          <w:sz w:val="22"/>
          <w:szCs w:val="22"/>
        </w:rPr>
        <w:footnoteReference w:id="2"/>
      </w:r>
      <w:r w:rsidR="00E47A65">
        <w:rPr>
          <w:rFonts w:ascii="Arial" w:hAnsi="Arial" w:cs="Arial"/>
          <w:sz w:val="22"/>
          <w:szCs w:val="22"/>
        </w:rPr>
        <w:t xml:space="preserve"> De</w:t>
      </w:r>
      <w:r w:rsidR="0074233E">
        <w:rPr>
          <w:rFonts w:ascii="Arial" w:hAnsi="Arial" w:cs="Arial"/>
          <w:sz w:val="22"/>
          <w:szCs w:val="22"/>
        </w:rPr>
        <w:t xml:space="preserve">ze </w:t>
      </w:r>
      <w:r w:rsidR="00E90E33">
        <w:rPr>
          <w:rFonts w:ascii="Arial" w:hAnsi="Arial" w:cs="Arial"/>
          <w:sz w:val="22"/>
          <w:szCs w:val="22"/>
        </w:rPr>
        <w:t>formule</w:t>
      </w:r>
      <w:r w:rsidR="0074233E">
        <w:rPr>
          <w:rFonts w:ascii="Arial" w:hAnsi="Arial" w:cs="Arial"/>
          <w:sz w:val="22"/>
          <w:szCs w:val="22"/>
        </w:rPr>
        <w:t xml:space="preserve"> is succesvol gebleken</w:t>
      </w:r>
      <w:r w:rsidR="00E90E33">
        <w:rPr>
          <w:rFonts w:ascii="Arial" w:hAnsi="Arial" w:cs="Arial"/>
          <w:sz w:val="22"/>
          <w:szCs w:val="22"/>
        </w:rPr>
        <w:t>.</w:t>
      </w:r>
      <w:r w:rsidR="00BA342F">
        <w:rPr>
          <w:rFonts w:ascii="Arial" w:hAnsi="Arial" w:cs="Arial"/>
          <w:sz w:val="22"/>
          <w:szCs w:val="22"/>
        </w:rPr>
        <w:t xml:space="preserve"> Kort nadat </w:t>
      </w:r>
      <w:proofErr w:type="spellStart"/>
      <w:r w:rsidR="00A43B0A">
        <w:rPr>
          <w:rFonts w:ascii="Arial" w:hAnsi="Arial" w:cs="Arial"/>
          <w:sz w:val="22"/>
          <w:szCs w:val="22"/>
        </w:rPr>
        <w:t>Garrix</w:t>
      </w:r>
      <w:proofErr w:type="spellEnd"/>
      <w:r w:rsidR="00BA342F">
        <w:rPr>
          <w:rFonts w:ascii="Arial" w:hAnsi="Arial" w:cs="Arial"/>
          <w:sz w:val="22"/>
          <w:szCs w:val="22"/>
        </w:rPr>
        <w:t xml:space="preserve"> </w:t>
      </w:r>
      <w:r w:rsidR="001E4121">
        <w:rPr>
          <w:rFonts w:ascii="Arial" w:hAnsi="Arial" w:cs="Arial"/>
          <w:sz w:val="22"/>
          <w:szCs w:val="22"/>
        </w:rPr>
        <w:t xml:space="preserve">in 2012 bij MAS Management en </w:t>
      </w:r>
      <w:proofErr w:type="spellStart"/>
      <w:r w:rsidR="001E4121">
        <w:rPr>
          <w:rFonts w:ascii="Arial" w:hAnsi="Arial" w:cs="Arial"/>
          <w:sz w:val="22"/>
          <w:szCs w:val="22"/>
        </w:rPr>
        <w:t>Spinnin</w:t>
      </w:r>
      <w:proofErr w:type="spellEnd"/>
      <w:r w:rsidR="001E4121">
        <w:rPr>
          <w:rFonts w:ascii="Arial" w:hAnsi="Arial" w:cs="Arial"/>
          <w:sz w:val="22"/>
          <w:szCs w:val="22"/>
        </w:rPr>
        <w:t xml:space="preserve">’ Records tekende, scoorde </w:t>
      </w:r>
      <w:r w:rsidR="00A43B0A">
        <w:rPr>
          <w:rFonts w:ascii="Arial" w:hAnsi="Arial" w:cs="Arial"/>
          <w:sz w:val="22"/>
          <w:szCs w:val="22"/>
        </w:rPr>
        <w:t>de jonge artiest</w:t>
      </w:r>
      <w:r w:rsidR="001E4121">
        <w:rPr>
          <w:rFonts w:ascii="Arial" w:hAnsi="Arial" w:cs="Arial"/>
          <w:sz w:val="22"/>
          <w:szCs w:val="22"/>
        </w:rPr>
        <w:t xml:space="preserve"> </w:t>
      </w:r>
      <w:r w:rsidR="00A43B0A">
        <w:rPr>
          <w:rFonts w:ascii="Arial" w:hAnsi="Arial" w:cs="Arial"/>
          <w:sz w:val="22"/>
          <w:szCs w:val="22"/>
        </w:rPr>
        <w:t xml:space="preserve">met </w:t>
      </w:r>
      <w:r w:rsidR="00C30F71">
        <w:rPr>
          <w:rFonts w:ascii="Arial" w:hAnsi="Arial" w:cs="Arial"/>
          <w:sz w:val="22"/>
          <w:szCs w:val="22"/>
        </w:rPr>
        <w:t>zijn</w:t>
      </w:r>
      <w:r w:rsidR="001E4121">
        <w:rPr>
          <w:rFonts w:ascii="Arial" w:hAnsi="Arial" w:cs="Arial"/>
          <w:sz w:val="22"/>
          <w:szCs w:val="22"/>
        </w:rPr>
        <w:t xml:space="preserve"> nummer ‘Animals’ een wereldhit.</w:t>
      </w:r>
      <w:r w:rsidR="00C30F71">
        <w:rPr>
          <w:rFonts w:ascii="Arial" w:hAnsi="Arial" w:cs="Arial"/>
          <w:sz w:val="22"/>
          <w:szCs w:val="22"/>
        </w:rPr>
        <w:t xml:space="preserve"> </w:t>
      </w:r>
      <w:proofErr w:type="spellStart"/>
      <w:r w:rsidR="00C30F71">
        <w:rPr>
          <w:rFonts w:ascii="Arial" w:hAnsi="Arial" w:cs="Arial"/>
          <w:sz w:val="22"/>
          <w:szCs w:val="22"/>
        </w:rPr>
        <w:t>Garrix</w:t>
      </w:r>
      <w:proofErr w:type="spellEnd"/>
      <w:r w:rsidR="00C30F71">
        <w:rPr>
          <w:rFonts w:ascii="Arial" w:hAnsi="Arial" w:cs="Arial"/>
          <w:sz w:val="22"/>
          <w:szCs w:val="22"/>
        </w:rPr>
        <w:t xml:space="preserve"> is </w:t>
      </w:r>
      <w:r w:rsidR="009F61EA">
        <w:rPr>
          <w:rFonts w:ascii="Arial" w:hAnsi="Arial" w:cs="Arial"/>
          <w:sz w:val="22"/>
          <w:szCs w:val="22"/>
        </w:rPr>
        <w:t xml:space="preserve">inmiddels </w:t>
      </w:r>
      <w:r w:rsidR="00C30F71">
        <w:rPr>
          <w:rFonts w:ascii="Arial" w:hAnsi="Arial" w:cs="Arial"/>
          <w:sz w:val="22"/>
          <w:szCs w:val="22"/>
        </w:rPr>
        <w:t xml:space="preserve">uitgegroeid tot een van de populairste </w:t>
      </w:r>
      <w:proofErr w:type="spellStart"/>
      <w:r w:rsidR="00C30F71">
        <w:rPr>
          <w:rFonts w:ascii="Arial" w:hAnsi="Arial" w:cs="Arial"/>
          <w:sz w:val="22"/>
          <w:szCs w:val="22"/>
        </w:rPr>
        <w:t>DJ’s</w:t>
      </w:r>
      <w:proofErr w:type="spellEnd"/>
      <w:r w:rsidR="00C30F71">
        <w:rPr>
          <w:rFonts w:ascii="Arial" w:hAnsi="Arial" w:cs="Arial"/>
          <w:sz w:val="22"/>
          <w:szCs w:val="22"/>
        </w:rPr>
        <w:t xml:space="preserve">, producers en artiesten </w:t>
      </w:r>
      <w:r w:rsidR="007F6247">
        <w:rPr>
          <w:rFonts w:ascii="Arial" w:hAnsi="Arial" w:cs="Arial"/>
          <w:sz w:val="22"/>
          <w:szCs w:val="22"/>
        </w:rPr>
        <w:t>ter wereld</w:t>
      </w:r>
      <w:r w:rsidR="00C30F71">
        <w:rPr>
          <w:rFonts w:ascii="Arial" w:hAnsi="Arial" w:cs="Arial"/>
          <w:sz w:val="22"/>
          <w:szCs w:val="22"/>
        </w:rPr>
        <w:t>.</w:t>
      </w:r>
      <w:r w:rsidR="001E4121">
        <w:rPr>
          <w:rFonts w:ascii="Arial" w:hAnsi="Arial" w:cs="Arial"/>
          <w:sz w:val="22"/>
          <w:szCs w:val="22"/>
        </w:rPr>
        <w:t xml:space="preserve"> </w:t>
      </w:r>
      <w:r w:rsidR="00BA342F">
        <w:rPr>
          <w:rFonts w:ascii="Arial" w:hAnsi="Arial" w:cs="Arial"/>
          <w:sz w:val="22"/>
          <w:szCs w:val="22"/>
        </w:rPr>
        <w:t xml:space="preserve"> </w:t>
      </w:r>
      <w:r w:rsidR="00E90E33">
        <w:rPr>
          <w:rFonts w:ascii="Arial" w:hAnsi="Arial" w:cs="Arial"/>
          <w:sz w:val="22"/>
          <w:szCs w:val="22"/>
        </w:rPr>
        <w:t xml:space="preserve">   </w:t>
      </w:r>
      <w:r w:rsidR="0074233E">
        <w:rPr>
          <w:rFonts w:ascii="Arial" w:hAnsi="Arial" w:cs="Arial"/>
          <w:sz w:val="22"/>
          <w:szCs w:val="22"/>
        </w:rPr>
        <w:t xml:space="preserve"> </w:t>
      </w:r>
      <w:r w:rsidR="00E47A65">
        <w:rPr>
          <w:rFonts w:ascii="Arial" w:hAnsi="Arial" w:cs="Arial"/>
          <w:sz w:val="22"/>
          <w:szCs w:val="22"/>
        </w:rPr>
        <w:t xml:space="preserve">   </w:t>
      </w:r>
    </w:p>
    <w:p w14:paraId="69064C8A" w14:textId="77777777" w:rsidR="008841B0" w:rsidRDefault="008841B0" w:rsidP="006F25CF">
      <w:pPr>
        <w:spacing w:line="300" w:lineRule="auto"/>
        <w:jc w:val="both"/>
        <w:rPr>
          <w:rFonts w:ascii="Arial" w:hAnsi="Arial" w:cs="Arial"/>
          <w:sz w:val="22"/>
          <w:szCs w:val="22"/>
        </w:rPr>
      </w:pPr>
    </w:p>
    <w:p w14:paraId="5C8F5B8B" w14:textId="77777777" w:rsidR="007F6247" w:rsidRDefault="007F6247" w:rsidP="006F25CF">
      <w:pPr>
        <w:spacing w:line="300" w:lineRule="auto"/>
        <w:jc w:val="both"/>
        <w:rPr>
          <w:rFonts w:ascii="Arial" w:hAnsi="Arial" w:cs="Arial"/>
          <w:b/>
          <w:bCs/>
          <w:sz w:val="22"/>
          <w:szCs w:val="22"/>
        </w:rPr>
      </w:pPr>
    </w:p>
    <w:p w14:paraId="602923EB" w14:textId="77777777" w:rsidR="007F6247" w:rsidRDefault="007F6247" w:rsidP="006F25CF">
      <w:pPr>
        <w:spacing w:line="300" w:lineRule="auto"/>
        <w:jc w:val="both"/>
        <w:rPr>
          <w:rFonts w:ascii="Arial" w:hAnsi="Arial" w:cs="Arial"/>
          <w:b/>
          <w:bCs/>
          <w:sz w:val="22"/>
          <w:szCs w:val="22"/>
        </w:rPr>
      </w:pPr>
    </w:p>
    <w:p w14:paraId="462C176E" w14:textId="02B7CC66" w:rsidR="008841B0" w:rsidRPr="007B0751" w:rsidRDefault="00A07DCA" w:rsidP="006F25CF">
      <w:pPr>
        <w:spacing w:line="300" w:lineRule="auto"/>
        <w:jc w:val="both"/>
        <w:rPr>
          <w:rFonts w:ascii="Arial" w:hAnsi="Arial" w:cs="Arial"/>
          <w:b/>
          <w:bCs/>
          <w:sz w:val="22"/>
          <w:szCs w:val="22"/>
        </w:rPr>
      </w:pPr>
      <w:r>
        <w:rPr>
          <w:rFonts w:ascii="Arial" w:hAnsi="Arial" w:cs="Arial"/>
          <w:b/>
          <w:bCs/>
          <w:sz w:val="22"/>
          <w:szCs w:val="22"/>
        </w:rPr>
        <w:lastRenderedPageBreak/>
        <w:t>Artiestenmanagement</w:t>
      </w:r>
      <w:r w:rsidR="006D49D5">
        <w:rPr>
          <w:rFonts w:ascii="Arial" w:hAnsi="Arial" w:cs="Arial"/>
          <w:b/>
          <w:bCs/>
          <w:sz w:val="22"/>
          <w:szCs w:val="22"/>
        </w:rPr>
        <w:t xml:space="preserve"> en zorgplicht</w:t>
      </w:r>
    </w:p>
    <w:p w14:paraId="16CD82E1" w14:textId="3993EF71" w:rsidR="00A219CD" w:rsidRDefault="00BD54D3" w:rsidP="006F25CF">
      <w:pPr>
        <w:spacing w:line="300" w:lineRule="auto"/>
        <w:jc w:val="both"/>
        <w:rPr>
          <w:rFonts w:ascii="Arial" w:hAnsi="Arial" w:cs="Arial"/>
          <w:sz w:val="22"/>
          <w:szCs w:val="22"/>
        </w:rPr>
      </w:pPr>
      <w:r>
        <w:rPr>
          <w:rFonts w:ascii="Arial" w:hAnsi="Arial" w:cs="Arial"/>
          <w:sz w:val="22"/>
          <w:szCs w:val="22"/>
        </w:rPr>
        <w:t xml:space="preserve">Managementovereenkomsten tussen artiesten en managers laten zich doorgaans kwalificeren </w:t>
      </w:r>
      <w:r w:rsidR="00971E1F">
        <w:rPr>
          <w:rFonts w:ascii="Arial" w:hAnsi="Arial" w:cs="Arial"/>
          <w:sz w:val="22"/>
          <w:szCs w:val="22"/>
        </w:rPr>
        <w:t>als</w:t>
      </w:r>
      <w:r>
        <w:rPr>
          <w:rFonts w:ascii="Arial" w:hAnsi="Arial" w:cs="Arial"/>
          <w:sz w:val="22"/>
          <w:szCs w:val="22"/>
        </w:rPr>
        <w:t xml:space="preserve"> overeenkomsten van opdracht in de zin van artikel 7:400 e.v. Burgerlijk Wetboek (BW)</w:t>
      </w:r>
      <w:r w:rsidR="001005D3">
        <w:rPr>
          <w:rFonts w:ascii="Arial" w:hAnsi="Arial" w:cs="Arial"/>
          <w:sz w:val="22"/>
          <w:szCs w:val="22"/>
        </w:rPr>
        <w:t>.</w:t>
      </w:r>
      <w:r w:rsidR="006D49D5">
        <w:rPr>
          <w:rStyle w:val="Voetnootmarkering"/>
          <w:rFonts w:ascii="Arial" w:hAnsi="Arial" w:cs="Arial"/>
          <w:sz w:val="22"/>
          <w:szCs w:val="22"/>
        </w:rPr>
        <w:footnoteReference w:id="3"/>
      </w:r>
      <w:r>
        <w:rPr>
          <w:rFonts w:ascii="Arial" w:hAnsi="Arial" w:cs="Arial"/>
          <w:sz w:val="22"/>
          <w:szCs w:val="22"/>
        </w:rPr>
        <w:t xml:space="preserve"> </w:t>
      </w:r>
      <w:r w:rsidR="00A103DE">
        <w:rPr>
          <w:rFonts w:ascii="Arial" w:hAnsi="Arial" w:cs="Arial"/>
          <w:sz w:val="22"/>
          <w:szCs w:val="22"/>
        </w:rPr>
        <w:t>Onder artiestenmanagers ontstond</w:t>
      </w:r>
      <w:r w:rsidR="000E59A2">
        <w:rPr>
          <w:rFonts w:ascii="Arial" w:hAnsi="Arial" w:cs="Arial"/>
          <w:sz w:val="22"/>
          <w:szCs w:val="22"/>
        </w:rPr>
        <w:t xml:space="preserve"> </w:t>
      </w:r>
      <w:r w:rsidR="007B0751">
        <w:rPr>
          <w:rFonts w:ascii="Arial" w:hAnsi="Arial" w:cs="Arial"/>
          <w:sz w:val="22"/>
          <w:szCs w:val="22"/>
        </w:rPr>
        <w:t xml:space="preserve">enige </w:t>
      </w:r>
      <w:r w:rsidR="008007CE">
        <w:rPr>
          <w:rFonts w:ascii="Arial" w:hAnsi="Arial" w:cs="Arial"/>
          <w:sz w:val="22"/>
          <w:szCs w:val="22"/>
        </w:rPr>
        <w:t>onrust</w:t>
      </w:r>
      <w:r w:rsidR="00A103DE">
        <w:rPr>
          <w:rFonts w:ascii="Arial" w:hAnsi="Arial" w:cs="Arial"/>
          <w:sz w:val="22"/>
          <w:szCs w:val="22"/>
        </w:rPr>
        <w:t xml:space="preserve"> na</w:t>
      </w:r>
      <w:r w:rsidR="00E37C15">
        <w:rPr>
          <w:rFonts w:ascii="Arial" w:hAnsi="Arial" w:cs="Arial"/>
          <w:sz w:val="22"/>
          <w:szCs w:val="22"/>
        </w:rPr>
        <w:t>ar aanleiding van</w:t>
      </w:r>
      <w:r w:rsidR="00A103DE">
        <w:rPr>
          <w:rFonts w:ascii="Arial" w:hAnsi="Arial" w:cs="Arial"/>
          <w:sz w:val="22"/>
          <w:szCs w:val="22"/>
        </w:rPr>
        <w:t xml:space="preserve"> </w:t>
      </w:r>
      <w:r w:rsidR="007B0751">
        <w:rPr>
          <w:rFonts w:ascii="Arial" w:hAnsi="Arial" w:cs="Arial"/>
          <w:sz w:val="22"/>
          <w:szCs w:val="22"/>
        </w:rPr>
        <w:t>het oordeel</w:t>
      </w:r>
      <w:r w:rsidR="00A103DE">
        <w:rPr>
          <w:rFonts w:ascii="Arial" w:hAnsi="Arial" w:cs="Arial"/>
          <w:sz w:val="22"/>
          <w:szCs w:val="22"/>
        </w:rPr>
        <w:t xml:space="preserve"> van de Rechtbank over de aard</w:t>
      </w:r>
      <w:r w:rsidR="000E59A2">
        <w:rPr>
          <w:rFonts w:ascii="Arial" w:hAnsi="Arial" w:cs="Arial"/>
          <w:sz w:val="22"/>
          <w:szCs w:val="22"/>
        </w:rPr>
        <w:t>, inhoud</w:t>
      </w:r>
      <w:r w:rsidR="00A103DE">
        <w:rPr>
          <w:rFonts w:ascii="Arial" w:hAnsi="Arial" w:cs="Arial"/>
          <w:sz w:val="22"/>
          <w:szCs w:val="22"/>
        </w:rPr>
        <w:t xml:space="preserve"> en omvang van de op hen </w:t>
      </w:r>
      <w:r w:rsidR="00A219CD">
        <w:rPr>
          <w:rFonts w:ascii="Arial" w:hAnsi="Arial" w:cs="Arial"/>
          <w:sz w:val="22"/>
          <w:szCs w:val="22"/>
        </w:rPr>
        <w:t xml:space="preserve">als opdrachtnemers </w:t>
      </w:r>
      <w:r w:rsidR="00A103DE">
        <w:rPr>
          <w:rFonts w:ascii="Arial" w:hAnsi="Arial" w:cs="Arial"/>
          <w:sz w:val="22"/>
          <w:szCs w:val="22"/>
        </w:rPr>
        <w:t>rustende</w:t>
      </w:r>
      <w:r w:rsidR="007B0751">
        <w:rPr>
          <w:rFonts w:ascii="Arial" w:hAnsi="Arial" w:cs="Arial"/>
          <w:sz w:val="22"/>
          <w:szCs w:val="22"/>
        </w:rPr>
        <w:t xml:space="preserve"> wettelijke</w:t>
      </w:r>
      <w:r w:rsidR="00A103DE">
        <w:rPr>
          <w:rFonts w:ascii="Arial" w:hAnsi="Arial" w:cs="Arial"/>
          <w:sz w:val="22"/>
          <w:szCs w:val="22"/>
        </w:rPr>
        <w:t xml:space="preserve"> zorgplicht</w:t>
      </w:r>
      <w:r w:rsidR="00DC6791">
        <w:rPr>
          <w:rFonts w:ascii="Arial" w:hAnsi="Arial" w:cs="Arial"/>
          <w:sz w:val="22"/>
          <w:szCs w:val="22"/>
        </w:rPr>
        <w:t xml:space="preserve"> ter behartiging van de belangen van hun artiesten</w:t>
      </w:r>
      <w:r w:rsidR="008007CE">
        <w:rPr>
          <w:rFonts w:ascii="Arial" w:hAnsi="Arial" w:cs="Arial"/>
          <w:sz w:val="22"/>
          <w:szCs w:val="22"/>
        </w:rPr>
        <w:t>.</w:t>
      </w:r>
      <w:r w:rsidR="00A103DE">
        <w:rPr>
          <w:rFonts w:ascii="Arial" w:hAnsi="Arial" w:cs="Arial"/>
          <w:sz w:val="22"/>
          <w:szCs w:val="22"/>
        </w:rPr>
        <w:t xml:space="preserve"> </w:t>
      </w:r>
      <w:r w:rsidR="007B6C69">
        <w:rPr>
          <w:rFonts w:ascii="Arial" w:hAnsi="Arial" w:cs="Arial"/>
          <w:sz w:val="22"/>
          <w:szCs w:val="22"/>
        </w:rPr>
        <w:t>MAS Management sch</w:t>
      </w:r>
      <w:r w:rsidR="001A7E7B">
        <w:rPr>
          <w:rFonts w:ascii="Arial" w:hAnsi="Arial" w:cs="Arial"/>
          <w:sz w:val="22"/>
          <w:szCs w:val="22"/>
        </w:rPr>
        <w:t xml:space="preserve">ond </w:t>
      </w:r>
      <w:r w:rsidR="007B6C69">
        <w:rPr>
          <w:rFonts w:ascii="Arial" w:hAnsi="Arial" w:cs="Arial"/>
          <w:sz w:val="22"/>
          <w:szCs w:val="22"/>
        </w:rPr>
        <w:t xml:space="preserve">haar </w:t>
      </w:r>
      <w:r w:rsidR="001A7E7B">
        <w:rPr>
          <w:rFonts w:ascii="Arial" w:hAnsi="Arial" w:cs="Arial"/>
          <w:sz w:val="22"/>
          <w:szCs w:val="22"/>
        </w:rPr>
        <w:t xml:space="preserve">bijzondere </w:t>
      </w:r>
      <w:r w:rsidR="007B6C69">
        <w:rPr>
          <w:rFonts w:ascii="Arial" w:hAnsi="Arial" w:cs="Arial"/>
          <w:sz w:val="22"/>
          <w:szCs w:val="22"/>
        </w:rPr>
        <w:t>zorgplicht</w:t>
      </w:r>
      <w:r w:rsidR="007F6247">
        <w:rPr>
          <w:rFonts w:ascii="Arial" w:hAnsi="Arial" w:cs="Arial"/>
          <w:sz w:val="22"/>
          <w:szCs w:val="22"/>
        </w:rPr>
        <w:t>, zo oordeelde de Rechtbank,</w:t>
      </w:r>
      <w:r w:rsidR="007B6C69">
        <w:rPr>
          <w:rFonts w:ascii="Arial" w:hAnsi="Arial" w:cs="Arial"/>
          <w:sz w:val="22"/>
          <w:szCs w:val="22"/>
        </w:rPr>
        <w:t xml:space="preserve"> doordat zij </w:t>
      </w:r>
      <w:r w:rsidR="001A7E7B">
        <w:rPr>
          <w:rFonts w:ascii="Arial" w:hAnsi="Arial" w:cs="Arial"/>
          <w:sz w:val="22"/>
          <w:szCs w:val="22"/>
        </w:rPr>
        <w:t>een te weinig</w:t>
      </w:r>
      <w:r w:rsidR="007B6C69">
        <w:rPr>
          <w:rFonts w:ascii="Arial" w:hAnsi="Arial" w:cs="Arial"/>
          <w:sz w:val="22"/>
          <w:szCs w:val="22"/>
        </w:rPr>
        <w:t xml:space="preserve"> actieve en kritische</w:t>
      </w:r>
      <w:r w:rsidR="001A7E7B">
        <w:rPr>
          <w:rFonts w:ascii="Arial" w:hAnsi="Arial" w:cs="Arial"/>
          <w:sz w:val="22"/>
          <w:szCs w:val="22"/>
        </w:rPr>
        <w:t xml:space="preserve"> houding aan de dag legde bij de onderhandelingen over een nieuwe productieovereenkomst met </w:t>
      </w:r>
      <w:proofErr w:type="spellStart"/>
      <w:r w:rsidR="001A7E7B">
        <w:rPr>
          <w:rFonts w:ascii="Arial" w:hAnsi="Arial" w:cs="Arial"/>
          <w:sz w:val="22"/>
          <w:szCs w:val="22"/>
        </w:rPr>
        <w:t>Spinnin</w:t>
      </w:r>
      <w:proofErr w:type="spellEnd"/>
      <w:r w:rsidR="001A7E7B">
        <w:rPr>
          <w:rFonts w:ascii="Arial" w:hAnsi="Arial" w:cs="Arial"/>
          <w:sz w:val="22"/>
          <w:szCs w:val="22"/>
        </w:rPr>
        <w:t>’ Records.</w:t>
      </w:r>
      <w:r w:rsidR="007B6C69">
        <w:rPr>
          <w:rFonts w:ascii="Arial" w:hAnsi="Arial" w:cs="Arial"/>
          <w:sz w:val="22"/>
          <w:szCs w:val="22"/>
        </w:rPr>
        <w:t xml:space="preserve"> </w:t>
      </w:r>
      <w:r w:rsidR="007F6247">
        <w:rPr>
          <w:rFonts w:ascii="Arial" w:hAnsi="Arial" w:cs="Arial"/>
          <w:sz w:val="22"/>
          <w:szCs w:val="22"/>
        </w:rPr>
        <w:t xml:space="preserve">Zo had </w:t>
      </w:r>
      <w:r w:rsidR="008D00E7">
        <w:rPr>
          <w:rFonts w:ascii="Arial" w:hAnsi="Arial" w:cs="Arial"/>
          <w:sz w:val="22"/>
          <w:szCs w:val="22"/>
        </w:rPr>
        <w:t xml:space="preserve">MAS Management </w:t>
      </w:r>
      <w:proofErr w:type="spellStart"/>
      <w:r w:rsidR="008D00E7">
        <w:rPr>
          <w:rFonts w:ascii="Arial" w:hAnsi="Arial" w:cs="Arial"/>
          <w:sz w:val="22"/>
          <w:szCs w:val="22"/>
        </w:rPr>
        <w:t>Garrix</w:t>
      </w:r>
      <w:proofErr w:type="spellEnd"/>
      <w:r w:rsidR="008D00E7">
        <w:rPr>
          <w:rFonts w:ascii="Arial" w:hAnsi="Arial" w:cs="Arial"/>
          <w:sz w:val="22"/>
          <w:szCs w:val="22"/>
        </w:rPr>
        <w:t xml:space="preserve"> moeten wijzen op de belangenverstrengeling die zich </w:t>
      </w:r>
      <w:r w:rsidR="00340669">
        <w:rPr>
          <w:rFonts w:ascii="Arial" w:hAnsi="Arial" w:cs="Arial"/>
          <w:sz w:val="22"/>
          <w:szCs w:val="22"/>
        </w:rPr>
        <w:t xml:space="preserve">hierbij </w:t>
      </w:r>
      <w:r w:rsidR="008D00E7">
        <w:rPr>
          <w:rFonts w:ascii="Arial" w:hAnsi="Arial" w:cs="Arial"/>
          <w:sz w:val="22"/>
          <w:szCs w:val="22"/>
        </w:rPr>
        <w:t>voordeed</w:t>
      </w:r>
      <w:r w:rsidR="00340669">
        <w:rPr>
          <w:rFonts w:ascii="Arial" w:hAnsi="Arial" w:cs="Arial"/>
          <w:sz w:val="22"/>
          <w:szCs w:val="22"/>
        </w:rPr>
        <w:t xml:space="preserve"> en hem moeten adviseren externe expertise in te schakelen. </w:t>
      </w:r>
      <w:r w:rsidR="008007CE">
        <w:rPr>
          <w:rFonts w:ascii="Arial" w:hAnsi="Arial" w:cs="Arial"/>
          <w:sz w:val="22"/>
          <w:szCs w:val="22"/>
        </w:rPr>
        <w:t xml:space="preserve">Dit resulteerde </w:t>
      </w:r>
      <w:r w:rsidR="00BC4D56">
        <w:rPr>
          <w:rFonts w:ascii="Arial" w:hAnsi="Arial" w:cs="Arial"/>
          <w:sz w:val="22"/>
          <w:szCs w:val="22"/>
        </w:rPr>
        <w:t xml:space="preserve">in eerste aanleg </w:t>
      </w:r>
      <w:r w:rsidR="00DC6791">
        <w:rPr>
          <w:rFonts w:ascii="Arial" w:hAnsi="Arial" w:cs="Arial"/>
          <w:sz w:val="22"/>
          <w:szCs w:val="22"/>
        </w:rPr>
        <w:t xml:space="preserve">in </w:t>
      </w:r>
      <w:r w:rsidR="006D49D5">
        <w:rPr>
          <w:rFonts w:ascii="Arial" w:hAnsi="Arial" w:cs="Arial"/>
          <w:sz w:val="22"/>
          <w:szCs w:val="22"/>
        </w:rPr>
        <w:t xml:space="preserve">de </w:t>
      </w:r>
      <w:r w:rsidR="008007CE">
        <w:rPr>
          <w:rFonts w:ascii="Arial" w:hAnsi="Arial" w:cs="Arial"/>
          <w:sz w:val="22"/>
          <w:szCs w:val="22"/>
        </w:rPr>
        <w:t xml:space="preserve">vernietiging van </w:t>
      </w:r>
      <w:r w:rsidR="007F6247">
        <w:rPr>
          <w:rFonts w:ascii="Arial" w:hAnsi="Arial" w:cs="Arial"/>
          <w:sz w:val="22"/>
          <w:szCs w:val="22"/>
        </w:rPr>
        <w:t>de</w:t>
      </w:r>
      <w:r w:rsidR="008007CE">
        <w:rPr>
          <w:rFonts w:ascii="Arial" w:hAnsi="Arial" w:cs="Arial"/>
          <w:sz w:val="22"/>
          <w:szCs w:val="22"/>
        </w:rPr>
        <w:t xml:space="preserve"> </w:t>
      </w:r>
      <w:r w:rsidR="00462969">
        <w:rPr>
          <w:rFonts w:ascii="Arial" w:hAnsi="Arial" w:cs="Arial"/>
          <w:sz w:val="22"/>
          <w:szCs w:val="22"/>
        </w:rPr>
        <w:t xml:space="preserve">exclusieve </w:t>
      </w:r>
      <w:r w:rsidR="008007CE">
        <w:rPr>
          <w:rFonts w:ascii="Arial" w:hAnsi="Arial" w:cs="Arial"/>
          <w:sz w:val="22"/>
          <w:szCs w:val="22"/>
        </w:rPr>
        <w:t>management</w:t>
      </w:r>
      <w:r w:rsidR="00CA3E8F">
        <w:rPr>
          <w:rFonts w:ascii="Arial" w:hAnsi="Arial" w:cs="Arial"/>
          <w:sz w:val="22"/>
          <w:szCs w:val="22"/>
        </w:rPr>
        <w:t>- en productie</w:t>
      </w:r>
      <w:r w:rsidR="008007CE">
        <w:rPr>
          <w:rFonts w:ascii="Arial" w:hAnsi="Arial" w:cs="Arial"/>
          <w:sz w:val="22"/>
          <w:szCs w:val="22"/>
        </w:rPr>
        <w:t>overeenkomst</w:t>
      </w:r>
      <w:r w:rsidR="007B0751">
        <w:rPr>
          <w:rFonts w:ascii="Arial" w:hAnsi="Arial" w:cs="Arial"/>
          <w:sz w:val="22"/>
          <w:szCs w:val="22"/>
        </w:rPr>
        <w:t>en</w:t>
      </w:r>
      <w:r w:rsidR="008007CE">
        <w:rPr>
          <w:rFonts w:ascii="Arial" w:hAnsi="Arial" w:cs="Arial"/>
          <w:sz w:val="22"/>
          <w:szCs w:val="22"/>
        </w:rPr>
        <w:t xml:space="preserve"> </w:t>
      </w:r>
      <w:r w:rsidR="007F6247">
        <w:rPr>
          <w:rFonts w:ascii="Arial" w:hAnsi="Arial" w:cs="Arial"/>
          <w:sz w:val="22"/>
          <w:szCs w:val="22"/>
        </w:rPr>
        <w:t xml:space="preserve">van </w:t>
      </w:r>
      <w:proofErr w:type="spellStart"/>
      <w:r w:rsidR="007F6247">
        <w:rPr>
          <w:rFonts w:ascii="Arial" w:hAnsi="Arial" w:cs="Arial"/>
          <w:sz w:val="22"/>
          <w:szCs w:val="22"/>
        </w:rPr>
        <w:t>Garrix</w:t>
      </w:r>
      <w:proofErr w:type="spellEnd"/>
      <w:r w:rsidR="007F6247">
        <w:rPr>
          <w:rFonts w:ascii="Arial" w:hAnsi="Arial" w:cs="Arial"/>
          <w:sz w:val="22"/>
          <w:szCs w:val="22"/>
        </w:rPr>
        <w:t xml:space="preserve"> </w:t>
      </w:r>
      <w:r w:rsidR="00DC6791">
        <w:rPr>
          <w:rFonts w:ascii="Arial" w:hAnsi="Arial" w:cs="Arial"/>
          <w:sz w:val="22"/>
          <w:szCs w:val="22"/>
        </w:rPr>
        <w:t xml:space="preserve">met MAS </w:t>
      </w:r>
      <w:r w:rsidR="000E59A2">
        <w:rPr>
          <w:rFonts w:ascii="Arial" w:hAnsi="Arial" w:cs="Arial"/>
          <w:sz w:val="22"/>
          <w:szCs w:val="22"/>
        </w:rPr>
        <w:t>Management</w:t>
      </w:r>
      <w:r w:rsidR="00CA3E8F">
        <w:rPr>
          <w:rFonts w:ascii="Arial" w:hAnsi="Arial" w:cs="Arial"/>
          <w:sz w:val="22"/>
          <w:szCs w:val="22"/>
        </w:rPr>
        <w:t xml:space="preserve"> en </w:t>
      </w:r>
      <w:proofErr w:type="spellStart"/>
      <w:r w:rsidR="00CA3E8F">
        <w:rPr>
          <w:rFonts w:ascii="Arial" w:hAnsi="Arial" w:cs="Arial"/>
          <w:sz w:val="22"/>
          <w:szCs w:val="22"/>
        </w:rPr>
        <w:t>Spinnin</w:t>
      </w:r>
      <w:proofErr w:type="spellEnd"/>
      <w:r w:rsidR="00CA3E8F">
        <w:rPr>
          <w:rFonts w:ascii="Arial" w:hAnsi="Arial" w:cs="Arial"/>
          <w:sz w:val="22"/>
          <w:szCs w:val="22"/>
        </w:rPr>
        <w:t>’ Records</w:t>
      </w:r>
      <w:r w:rsidR="000E59A2">
        <w:rPr>
          <w:rFonts w:ascii="Arial" w:hAnsi="Arial" w:cs="Arial"/>
          <w:sz w:val="22"/>
          <w:szCs w:val="22"/>
        </w:rPr>
        <w:t xml:space="preserve"> </w:t>
      </w:r>
      <w:r w:rsidR="008007CE">
        <w:rPr>
          <w:rFonts w:ascii="Arial" w:hAnsi="Arial" w:cs="Arial"/>
          <w:sz w:val="22"/>
          <w:szCs w:val="22"/>
        </w:rPr>
        <w:t xml:space="preserve">wegens </w:t>
      </w:r>
      <w:r w:rsidR="00F0518F">
        <w:rPr>
          <w:rFonts w:ascii="Arial" w:hAnsi="Arial" w:cs="Arial"/>
          <w:sz w:val="22"/>
          <w:szCs w:val="22"/>
        </w:rPr>
        <w:t>dwaling</w:t>
      </w:r>
      <w:r w:rsidR="00AE28B3">
        <w:rPr>
          <w:rFonts w:ascii="Arial" w:hAnsi="Arial" w:cs="Arial"/>
          <w:sz w:val="22"/>
          <w:szCs w:val="22"/>
        </w:rPr>
        <w:t xml:space="preserve"> </w:t>
      </w:r>
      <w:r w:rsidR="00D61D27">
        <w:rPr>
          <w:rFonts w:ascii="Arial" w:hAnsi="Arial" w:cs="Arial"/>
          <w:sz w:val="22"/>
          <w:szCs w:val="22"/>
        </w:rPr>
        <w:t xml:space="preserve">ten aanzien van de wijze waarop </w:t>
      </w:r>
      <w:proofErr w:type="spellStart"/>
      <w:r w:rsidR="00D61D27">
        <w:rPr>
          <w:rFonts w:ascii="Arial" w:hAnsi="Arial" w:cs="Arial"/>
          <w:sz w:val="22"/>
          <w:szCs w:val="22"/>
        </w:rPr>
        <w:t>Spinnin</w:t>
      </w:r>
      <w:proofErr w:type="spellEnd"/>
      <w:r w:rsidR="00D61D27">
        <w:rPr>
          <w:rFonts w:ascii="Arial" w:hAnsi="Arial" w:cs="Arial"/>
          <w:sz w:val="22"/>
          <w:szCs w:val="22"/>
        </w:rPr>
        <w:t xml:space="preserve">’ Records en MAS Management zouden kunnen omgaan met </w:t>
      </w:r>
      <w:r w:rsidR="006D49D5">
        <w:rPr>
          <w:rFonts w:ascii="Arial" w:hAnsi="Arial" w:cs="Arial"/>
          <w:sz w:val="22"/>
          <w:szCs w:val="22"/>
        </w:rPr>
        <w:t>belangen</w:t>
      </w:r>
      <w:r w:rsidR="00DF5DF6">
        <w:rPr>
          <w:rFonts w:ascii="Arial" w:hAnsi="Arial" w:cs="Arial"/>
          <w:sz w:val="22"/>
          <w:szCs w:val="22"/>
        </w:rPr>
        <w:t>verstrengeling</w:t>
      </w:r>
      <w:r w:rsidR="00AE28B3">
        <w:rPr>
          <w:rFonts w:ascii="Arial" w:hAnsi="Arial" w:cs="Arial"/>
          <w:sz w:val="22"/>
          <w:szCs w:val="22"/>
        </w:rPr>
        <w:t>.</w:t>
      </w:r>
      <w:r w:rsidR="00A219CD">
        <w:rPr>
          <w:rFonts w:ascii="Arial" w:hAnsi="Arial" w:cs="Arial"/>
          <w:sz w:val="22"/>
          <w:szCs w:val="22"/>
        </w:rPr>
        <w:t xml:space="preserve"> </w:t>
      </w:r>
      <w:r w:rsidR="00DF5DF6">
        <w:rPr>
          <w:rFonts w:ascii="Arial" w:hAnsi="Arial" w:cs="Arial"/>
          <w:sz w:val="22"/>
          <w:szCs w:val="22"/>
        </w:rPr>
        <w:t xml:space="preserve">Het Hof stelt </w:t>
      </w:r>
      <w:r w:rsidR="007F6247">
        <w:rPr>
          <w:rFonts w:ascii="Arial" w:hAnsi="Arial" w:cs="Arial"/>
          <w:sz w:val="22"/>
          <w:szCs w:val="22"/>
        </w:rPr>
        <w:t xml:space="preserve">echter </w:t>
      </w:r>
      <w:r w:rsidR="00DF5DF6">
        <w:rPr>
          <w:rFonts w:ascii="Arial" w:hAnsi="Arial" w:cs="Arial"/>
          <w:sz w:val="22"/>
          <w:szCs w:val="22"/>
        </w:rPr>
        <w:t xml:space="preserve">vast dat </w:t>
      </w:r>
      <w:proofErr w:type="spellStart"/>
      <w:r w:rsidR="00DF5DF6">
        <w:rPr>
          <w:rFonts w:ascii="Arial" w:hAnsi="Arial" w:cs="Arial"/>
          <w:sz w:val="22"/>
          <w:szCs w:val="22"/>
        </w:rPr>
        <w:t>Garrix</w:t>
      </w:r>
      <w:proofErr w:type="spellEnd"/>
      <w:r w:rsidR="00DF5DF6">
        <w:rPr>
          <w:rFonts w:ascii="Arial" w:hAnsi="Arial" w:cs="Arial"/>
          <w:sz w:val="22"/>
          <w:szCs w:val="22"/>
        </w:rPr>
        <w:t xml:space="preserve"> niet </w:t>
      </w:r>
      <w:r w:rsidR="007F6247">
        <w:rPr>
          <w:rFonts w:ascii="Arial" w:hAnsi="Arial" w:cs="Arial"/>
          <w:sz w:val="22"/>
          <w:szCs w:val="22"/>
        </w:rPr>
        <w:t xml:space="preserve">heeft </w:t>
      </w:r>
      <w:r w:rsidR="00DF5DF6">
        <w:rPr>
          <w:rFonts w:ascii="Arial" w:hAnsi="Arial" w:cs="Arial"/>
          <w:sz w:val="22"/>
          <w:szCs w:val="22"/>
        </w:rPr>
        <w:t xml:space="preserve">gedwaald ten tijde van </w:t>
      </w:r>
      <w:r w:rsidR="006D49D5">
        <w:rPr>
          <w:rFonts w:ascii="Arial" w:hAnsi="Arial" w:cs="Arial"/>
          <w:sz w:val="22"/>
          <w:szCs w:val="22"/>
        </w:rPr>
        <w:t>het aangaan</w:t>
      </w:r>
      <w:r w:rsidR="00DF5DF6">
        <w:rPr>
          <w:rFonts w:ascii="Arial" w:hAnsi="Arial" w:cs="Arial"/>
          <w:sz w:val="22"/>
          <w:szCs w:val="22"/>
        </w:rPr>
        <w:t xml:space="preserve"> van de management- en productieovereenkomsten. Van bedrog of misbruik van omstandigheden is evenmin gebleken.</w:t>
      </w:r>
      <w:r w:rsidR="00DF5DF6" w:rsidRPr="00DF5DF6">
        <w:rPr>
          <w:rFonts w:ascii="Arial" w:hAnsi="Arial" w:cs="Arial"/>
          <w:sz w:val="22"/>
          <w:szCs w:val="22"/>
        </w:rPr>
        <w:t xml:space="preserve"> </w:t>
      </w:r>
      <w:r w:rsidR="00DF5DF6">
        <w:rPr>
          <w:rFonts w:ascii="Arial" w:hAnsi="Arial" w:cs="Arial"/>
          <w:sz w:val="22"/>
          <w:szCs w:val="22"/>
        </w:rPr>
        <w:t xml:space="preserve">Het arrest van het Hof neemt in zoverre de onrust bij artiestenmanagers weg doordat </w:t>
      </w:r>
      <w:r w:rsidR="006D49D5">
        <w:rPr>
          <w:rFonts w:ascii="Arial" w:hAnsi="Arial" w:cs="Arial"/>
          <w:sz w:val="22"/>
          <w:szCs w:val="22"/>
        </w:rPr>
        <w:t xml:space="preserve">duidelijk wordt dat </w:t>
      </w:r>
      <w:r w:rsidR="00DF5DF6">
        <w:rPr>
          <w:rFonts w:ascii="Arial" w:hAnsi="Arial" w:cs="Arial"/>
          <w:sz w:val="22"/>
          <w:szCs w:val="22"/>
        </w:rPr>
        <w:t xml:space="preserve">onder de gegeven feiten en omstandigheden niet al te lichtvaardig een (wezenlijke) schending van de </w:t>
      </w:r>
      <w:r w:rsidR="008B0B55">
        <w:rPr>
          <w:rFonts w:ascii="Arial" w:hAnsi="Arial" w:cs="Arial"/>
          <w:sz w:val="22"/>
          <w:szCs w:val="22"/>
        </w:rPr>
        <w:t>wettelijke</w:t>
      </w:r>
      <w:r w:rsidR="00DF5DF6">
        <w:rPr>
          <w:rFonts w:ascii="Arial" w:hAnsi="Arial" w:cs="Arial"/>
          <w:sz w:val="22"/>
          <w:szCs w:val="22"/>
        </w:rPr>
        <w:t xml:space="preserve"> zorgplich</w:t>
      </w:r>
      <w:r w:rsidR="006D49D5">
        <w:rPr>
          <w:rFonts w:ascii="Arial" w:hAnsi="Arial" w:cs="Arial"/>
          <w:sz w:val="22"/>
          <w:szCs w:val="22"/>
        </w:rPr>
        <w:t>t</w:t>
      </w:r>
      <w:r w:rsidR="00DF5DF6">
        <w:rPr>
          <w:rFonts w:ascii="Arial" w:hAnsi="Arial" w:cs="Arial"/>
          <w:sz w:val="22"/>
          <w:szCs w:val="22"/>
        </w:rPr>
        <w:t xml:space="preserve"> </w:t>
      </w:r>
      <w:r w:rsidR="008B0B55">
        <w:rPr>
          <w:rFonts w:ascii="Arial" w:hAnsi="Arial" w:cs="Arial"/>
          <w:sz w:val="22"/>
          <w:szCs w:val="22"/>
        </w:rPr>
        <w:t xml:space="preserve">van de manager-opdrachtnemer of wilsgebrek </w:t>
      </w:r>
      <w:r w:rsidR="00DF5DF6">
        <w:rPr>
          <w:rFonts w:ascii="Arial" w:hAnsi="Arial" w:cs="Arial"/>
          <w:sz w:val="22"/>
          <w:szCs w:val="22"/>
        </w:rPr>
        <w:t xml:space="preserve">pleegt te worden aangenomen. Er </w:t>
      </w:r>
      <w:r w:rsidR="00340669">
        <w:rPr>
          <w:rFonts w:ascii="Arial" w:hAnsi="Arial" w:cs="Arial"/>
          <w:sz w:val="22"/>
          <w:szCs w:val="22"/>
        </w:rPr>
        <w:t xml:space="preserve">gaat </w:t>
      </w:r>
      <w:r w:rsidR="00DF5DF6">
        <w:rPr>
          <w:rFonts w:ascii="Arial" w:hAnsi="Arial" w:cs="Arial"/>
          <w:sz w:val="22"/>
          <w:szCs w:val="22"/>
        </w:rPr>
        <w:t xml:space="preserve">een </w:t>
      </w:r>
      <w:r w:rsidR="00340669">
        <w:rPr>
          <w:rFonts w:ascii="Arial" w:hAnsi="Arial" w:cs="Arial"/>
          <w:sz w:val="22"/>
          <w:szCs w:val="22"/>
        </w:rPr>
        <w:t>uitgebreid</w:t>
      </w:r>
      <w:r w:rsidR="00DF5DF6">
        <w:rPr>
          <w:rFonts w:ascii="Arial" w:hAnsi="Arial" w:cs="Arial"/>
          <w:sz w:val="22"/>
          <w:szCs w:val="22"/>
        </w:rPr>
        <w:t xml:space="preserve"> feitenonderzoek aan vooraf, waarbij </w:t>
      </w:r>
      <w:r w:rsidR="00EA6390">
        <w:rPr>
          <w:rFonts w:ascii="Arial" w:hAnsi="Arial" w:cs="Arial"/>
          <w:sz w:val="22"/>
          <w:szCs w:val="22"/>
        </w:rPr>
        <w:t xml:space="preserve">eveneens </w:t>
      </w:r>
      <w:r w:rsidR="00DF5DF6">
        <w:rPr>
          <w:rFonts w:ascii="Arial" w:hAnsi="Arial" w:cs="Arial"/>
          <w:sz w:val="22"/>
          <w:szCs w:val="22"/>
        </w:rPr>
        <w:t xml:space="preserve">de eigen gedragingen van de artiest </w:t>
      </w:r>
      <w:r w:rsidR="006D49D5">
        <w:rPr>
          <w:rFonts w:ascii="Arial" w:hAnsi="Arial" w:cs="Arial"/>
          <w:sz w:val="22"/>
          <w:szCs w:val="22"/>
        </w:rPr>
        <w:t>aan bod komen</w:t>
      </w:r>
      <w:r w:rsidR="00DF5DF6">
        <w:rPr>
          <w:rFonts w:ascii="Arial" w:hAnsi="Arial" w:cs="Arial"/>
          <w:sz w:val="22"/>
          <w:szCs w:val="22"/>
        </w:rPr>
        <w:t>.</w:t>
      </w:r>
      <w:r w:rsidR="00425A39">
        <w:rPr>
          <w:rFonts w:ascii="Arial" w:hAnsi="Arial" w:cs="Arial"/>
          <w:sz w:val="22"/>
          <w:szCs w:val="22"/>
        </w:rPr>
        <w:t xml:space="preserve"> </w:t>
      </w:r>
    </w:p>
    <w:p w14:paraId="7FE66118" w14:textId="77777777" w:rsidR="00A219CD" w:rsidRDefault="00A219CD" w:rsidP="006F25CF">
      <w:pPr>
        <w:spacing w:line="300" w:lineRule="auto"/>
        <w:jc w:val="both"/>
        <w:rPr>
          <w:rFonts w:ascii="Arial" w:hAnsi="Arial" w:cs="Arial"/>
          <w:sz w:val="22"/>
          <w:szCs w:val="22"/>
        </w:rPr>
      </w:pPr>
    </w:p>
    <w:p w14:paraId="21E37BFD" w14:textId="79CB7D97" w:rsidR="00A219CD" w:rsidRPr="00DF5DF6" w:rsidRDefault="009E418C" w:rsidP="006F25CF">
      <w:pPr>
        <w:spacing w:line="300" w:lineRule="auto"/>
        <w:jc w:val="both"/>
        <w:rPr>
          <w:rFonts w:ascii="Arial" w:hAnsi="Arial" w:cs="Arial"/>
          <w:b/>
          <w:sz w:val="22"/>
          <w:szCs w:val="22"/>
        </w:rPr>
      </w:pPr>
      <w:r>
        <w:rPr>
          <w:rFonts w:ascii="Arial" w:hAnsi="Arial" w:cs="Arial"/>
          <w:b/>
          <w:sz w:val="22"/>
          <w:szCs w:val="22"/>
        </w:rPr>
        <w:t>Producers en deejays zijn uitvoerende kunstenaars</w:t>
      </w:r>
    </w:p>
    <w:p w14:paraId="74993CBD" w14:textId="382A05D4" w:rsidR="001D6555" w:rsidRDefault="00BD156F" w:rsidP="006F25CF">
      <w:pPr>
        <w:spacing w:line="300" w:lineRule="auto"/>
        <w:jc w:val="both"/>
        <w:rPr>
          <w:rFonts w:ascii="Arial" w:hAnsi="Arial" w:cs="Arial"/>
          <w:sz w:val="22"/>
          <w:szCs w:val="22"/>
        </w:rPr>
      </w:pPr>
      <w:r>
        <w:rPr>
          <w:rFonts w:ascii="Arial" w:hAnsi="Arial" w:cs="Arial"/>
          <w:sz w:val="22"/>
          <w:szCs w:val="22"/>
        </w:rPr>
        <w:t xml:space="preserve">Vaststaat dat </w:t>
      </w:r>
      <w:proofErr w:type="spellStart"/>
      <w:r>
        <w:rPr>
          <w:rFonts w:ascii="Arial" w:hAnsi="Arial" w:cs="Arial"/>
          <w:sz w:val="22"/>
          <w:szCs w:val="22"/>
        </w:rPr>
        <w:t>Garrix</w:t>
      </w:r>
      <w:proofErr w:type="spellEnd"/>
      <w:r>
        <w:rPr>
          <w:rFonts w:ascii="Arial" w:hAnsi="Arial" w:cs="Arial"/>
          <w:sz w:val="22"/>
          <w:szCs w:val="22"/>
        </w:rPr>
        <w:t xml:space="preserve"> de feitelijke maker van zijn nummers is. </w:t>
      </w:r>
      <w:proofErr w:type="spellStart"/>
      <w:r w:rsidR="00471CCF">
        <w:rPr>
          <w:rFonts w:ascii="Arial" w:hAnsi="Arial" w:cs="Arial"/>
          <w:sz w:val="22"/>
          <w:szCs w:val="22"/>
        </w:rPr>
        <w:t>Spinnin</w:t>
      </w:r>
      <w:proofErr w:type="spellEnd"/>
      <w:r w:rsidR="00471CCF">
        <w:rPr>
          <w:rFonts w:ascii="Arial" w:hAnsi="Arial" w:cs="Arial"/>
          <w:sz w:val="22"/>
          <w:szCs w:val="22"/>
        </w:rPr>
        <w:t>’ Records bet</w:t>
      </w:r>
      <w:r w:rsidR="009E418C">
        <w:rPr>
          <w:rFonts w:ascii="Arial" w:hAnsi="Arial" w:cs="Arial"/>
          <w:sz w:val="22"/>
          <w:szCs w:val="22"/>
        </w:rPr>
        <w:t>wijfelt</w:t>
      </w:r>
      <w:r w:rsidR="00471CCF">
        <w:rPr>
          <w:rFonts w:ascii="Arial" w:hAnsi="Arial" w:cs="Arial"/>
          <w:sz w:val="22"/>
          <w:szCs w:val="22"/>
        </w:rPr>
        <w:t xml:space="preserve"> </w:t>
      </w:r>
      <w:r>
        <w:rPr>
          <w:rFonts w:ascii="Arial" w:hAnsi="Arial" w:cs="Arial"/>
          <w:sz w:val="22"/>
          <w:szCs w:val="22"/>
        </w:rPr>
        <w:t xml:space="preserve">of </w:t>
      </w:r>
      <w:proofErr w:type="spellStart"/>
      <w:r>
        <w:rPr>
          <w:rFonts w:ascii="Arial" w:hAnsi="Arial" w:cs="Arial"/>
          <w:sz w:val="22"/>
          <w:szCs w:val="22"/>
        </w:rPr>
        <w:t>Garrix</w:t>
      </w:r>
      <w:proofErr w:type="spellEnd"/>
      <w:r>
        <w:rPr>
          <w:rFonts w:ascii="Arial" w:hAnsi="Arial" w:cs="Arial"/>
          <w:sz w:val="22"/>
          <w:szCs w:val="22"/>
        </w:rPr>
        <w:t xml:space="preserve"> in zijn hoedanigheid van producer als uitvoerende kunstenaar in de zin van </w:t>
      </w:r>
      <w:r w:rsidR="009B0638">
        <w:rPr>
          <w:rFonts w:ascii="Arial" w:hAnsi="Arial" w:cs="Arial"/>
          <w:sz w:val="22"/>
          <w:szCs w:val="22"/>
        </w:rPr>
        <w:t xml:space="preserve">artikel 1a </w:t>
      </w:r>
      <w:proofErr w:type="spellStart"/>
      <w:r>
        <w:rPr>
          <w:rFonts w:ascii="Arial" w:hAnsi="Arial" w:cs="Arial"/>
          <w:sz w:val="22"/>
          <w:szCs w:val="22"/>
        </w:rPr>
        <w:t>Wnr</w:t>
      </w:r>
      <w:proofErr w:type="spellEnd"/>
      <w:r>
        <w:rPr>
          <w:rFonts w:ascii="Arial" w:hAnsi="Arial" w:cs="Arial"/>
          <w:sz w:val="22"/>
          <w:szCs w:val="22"/>
        </w:rPr>
        <w:t xml:space="preserve"> is aan te merken en beroept zich daarbij </w:t>
      </w:r>
      <w:r w:rsidR="00C127BF">
        <w:rPr>
          <w:rFonts w:ascii="Arial" w:hAnsi="Arial" w:cs="Arial"/>
          <w:sz w:val="22"/>
          <w:szCs w:val="22"/>
        </w:rPr>
        <w:t xml:space="preserve">onder meer </w:t>
      </w:r>
      <w:r>
        <w:rPr>
          <w:rFonts w:ascii="Arial" w:hAnsi="Arial" w:cs="Arial"/>
          <w:sz w:val="22"/>
          <w:szCs w:val="22"/>
        </w:rPr>
        <w:t xml:space="preserve">op </w:t>
      </w:r>
      <w:r w:rsidR="00471CCF">
        <w:rPr>
          <w:rFonts w:ascii="Arial" w:hAnsi="Arial" w:cs="Arial"/>
          <w:sz w:val="22"/>
          <w:szCs w:val="22"/>
        </w:rPr>
        <w:t xml:space="preserve">de </w:t>
      </w:r>
      <w:r w:rsidR="0078021E">
        <w:rPr>
          <w:rFonts w:ascii="Arial" w:hAnsi="Arial" w:cs="Arial"/>
          <w:sz w:val="22"/>
          <w:szCs w:val="22"/>
        </w:rPr>
        <w:t>beslissing van het Hof Amsterdam in de principezaak van de</w:t>
      </w:r>
      <w:r w:rsidR="00B64A87">
        <w:rPr>
          <w:rFonts w:ascii="Arial" w:hAnsi="Arial" w:cs="Arial"/>
          <w:sz w:val="22"/>
          <w:szCs w:val="22"/>
        </w:rPr>
        <w:t xml:space="preserve"> verzamelde</w:t>
      </w:r>
      <w:r w:rsidR="0078021E">
        <w:rPr>
          <w:rFonts w:ascii="Arial" w:hAnsi="Arial" w:cs="Arial"/>
          <w:sz w:val="22"/>
          <w:szCs w:val="22"/>
        </w:rPr>
        <w:t xml:space="preserve"> geluidsproducers tegen SENA</w:t>
      </w:r>
      <w:r w:rsidR="00AC6C3C">
        <w:rPr>
          <w:rFonts w:ascii="Arial" w:hAnsi="Arial" w:cs="Arial"/>
          <w:sz w:val="22"/>
          <w:szCs w:val="22"/>
        </w:rPr>
        <w:t>.</w:t>
      </w:r>
      <w:r w:rsidR="00A26F80">
        <w:rPr>
          <w:rStyle w:val="Voetnootmarkering"/>
          <w:rFonts w:ascii="Arial" w:hAnsi="Arial" w:cs="Arial"/>
          <w:sz w:val="22"/>
          <w:szCs w:val="22"/>
        </w:rPr>
        <w:footnoteReference w:id="4"/>
      </w:r>
      <w:r w:rsidR="00B64A87">
        <w:rPr>
          <w:rFonts w:ascii="Arial" w:hAnsi="Arial" w:cs="Arial"/>
          <w:sz w:val="22"/>
          <w:szCs w:val="22"/>
        </w:rPr>
        <w:t xml:space="preserve"> </w:t>
      </w:r>
      <w:r w:rsidR="00A26F80">
        <w:rPr>
          <w:rFonts w:ascii="Arial" w:hAnsi="Arial" w:cs="Arial"/>
          <w:sz w:val="22"/>
          <w:szCs w:val="22"/>
        </w:rPr>
        <w:t>A</w:t>
      </w:r>
      <w:r w:rsidR="00DA361C">
        <w:rPr>
          <w:rFonts w:ascii="Arial" w:hAnsi="Arial" w:cs="Arial"/>
          <w:sz w:val="22"/>
          <w:szCs w:val="22"/>
        </w:rPr>
        <w:t xml:space="preserve">an de hand van </w:t>
      </w:r>
      <w:r w:rsidR="00C127BF">
        <w:rPr>
          <w:rFonts w:ascii="Arial" w:hAnsi="Arial" w:cs="Arial"/>
          <w:sz w:val="22"/>
          <w:szCs w:val="22"/>
        </w:rPr>
        <w:t xml:space="preserve">een </w:t>
      </w:r>
      <w:r w:rsidR="00DA361C">
        <w:rPr>
          <w:rFonts w:ascii="Arial" w:hAnsi="Arial" w:cs="Arial"/>
          <w:sz w:val="22"/>
          <w:szCs w:val="22"/>
        </w:rPr>
        <w:t xml:space="preserve">afbakening van de </w:t>
      </w:r>
      <w:r w:rsidR="00A26F80">
        <w:rPr>
          <w:rFonts w:ascii="Arial" w:hAnsi="Arial" w:cs="Arial"/>
          <w:sz w:val="22"/>
          <w:szCs w:val="22"/>
        </w:rPr>
        <w:t xml:space="preserve">feitelijke </w:t>
      </w:r>
      <w:r w:rsidR="00DA361C">
        <w:rPr>
          <w:rFonts w:ascii="Arial" w:hAnsi="Arial" w:cs="Arial"/>
          <w:sz w:val="22"/>
          <w:szCs w:val="22"/>
        </w:rPr>
        <w:t>werkzaamheden van een</w:t>
      </w:r>
      <w:r w:rsidR="00002583">
        <w:rPr>
          <w:rFonts w:ascii="Arial" w:hAnsi="Arial" w:cs="Arial"/>
          <w:sz w:val="22"/>
          <w:szCs w:val="22"/>
        </w:rPr>
        <w:t xml:space="preserve"> </w:t>
      </w:r>
      <w:r w:rsidR="00DA361C">
        <w:rPr>
          <w:rFonts w:ascii="Arial" w:hAnsi="Arial" w:cs="Arial"/>
          <w:sz w:val="22"/>
          <w:szCs w:val="22"/>
        </w:rPr>
        <w:t>geluidsproducer en met een beroep op de systeemkeuze</w:t>
      </w:r>
      <w:r w:rsidR="00F602C4">
        <w:rPr>
          <w:rStyle w:val="Voetnootmarkering"/>
          <w:rFonts w:ascii="Arial" w:hAnsi="Arial" w:cs="Arial"/>
          <w:sz w:val="22"/>
          <w:szCs w:val="22"/>
        </w:rPr>
        <w:footnoteReference w:id="5"/>
      </w:r>
      <w:r w:rsidR="00DA361C">
        <w:rPr>
          <w:rFonts w:ascii="Arial" w:hAnsi="Arial" w:cs="Arial"/>
          <w:sz w:val="22"/>
          <w:szCs w:val="22"/>
        </w:rPr>
        <w:t xml:space="preserve"> van </w:t>
      </w:r>
      <w:r w:rsidR="00971E1F">
        <w:rPr>
          <w:rFonts w:ascii="Arial" w:hAnsi="Arial" w:cs="Arial"/>
          <w:sz w:val="22"/>
          <w:szCs w:val="22"/>
        </w:rPr>
        <w:t>d</w:t>
      </w:r>
      <w:r w:rsidR="005B704B">
        <w:rPr>
          <w:rFonts w:ascii="Arial" w:hAnsi="Arial" w:cs="Arial"/>
          <w:sz w:val="22"/>
          <w:szCs w:val="22"/>
        </w:rPr>
        <w:t>e</w:t>
      </w:r>
      <w:r w:rsidR="00DA361C">
        <w:rPr>
          <w:rFonts w:ascii="Arial" w:hAnsi="Arial" w:cs="Arial"/>
          <w:sz w:val="22"/>
          <w:szCs w:val="22"/>
        </w:rPr>
        <w:t xml:space="preserve"> wetgever </w:t>
      </w:r>
      <w:r>
        <w:rPr>
          <w:rFonts w:ascii="Arial" w:hAnsi="Arial" w:cs="Arial"/>
          <w:sz w:val="22"/>
          <w:szCs w:val="22"/>
        </w:rPr>
        <w:t>oordeelde het Hof Amsterdam</w:t>
      </w:r>
      <w:r w:rsidR="00B211CC">
        <w:rPr>
          <w:rFonts w:ascii="Arial" w:hAnsi="Arial" w:cs="Arial"/>
          <w:sz w:val="22"/>
          <w:szCs w:val="22"/>
        </w:rPr>
        <w:t xml:space="preserve"> destijds </w:t>
      </w:r>
      <w:r w:rsidR="00B64A87">
        <w:rPr>
          <w:rFonts w:ascii="Arial" w:hAnsi="Arial" w:cs="Arial"/>
          <w:sz w:val="22"/>
          <w:szCs w:val="22"/>
        </w:rPr>
        <w:t xml:space="preserve">dat </w:t>
      </w:r>
      <w:r w:rsidR="005B704B">
        <w:rPr>
          <w:rFonts w:ascii="Arial" w:hAnsi="Arial" w:cs="Arial"/>
          <w:sz w:val="22"/>
          <w:szCs w:val="22"/>
        </w:rPr>
        <w:t xml:space="preserve">een </w:t>
      </w:r>
      <w:r w:rsidR="00B64A87">
        <w:rPr>
          <w:rFonts w:ascii="Arial" w:hAnsi="Arial" w:cs="Arial"/>
          <w:sz w:val="22"/>
          <w:szCs w:val="22"/>
        </w:rPr>
        <w:t xml:space="preserve">geluidsproducer </w:t>
      </w:r>
      <w:r w:rsidR="00D06AE0">
        <w:rPr>
          <w:rFonts w:ascii="Arial" w:hAnsi="Arial" w:cs="Arial"/>
          <w:sz w:val="22"/>
          <w:szCs w:val="22"/>
        </w:rPr>
        <w:t xml:space="preserve">die slechts </w:t>
      </w:r>
      <w:r w:rsidR="00DA361C">
        <w:rPr>
          <w:rFonts w:ascii="Arial" w:hAnsi="Arial" w:cs="Arial"/>
          <w:sz w:val="22"/>
          <w:szCs w:val="22"/>
        </w:rPr>
        <w:t xml:space="preserve">werkzaamheden verricht en </w:t>
      </w:r>
      <w:r w:rsidR="00D06AE0">
        <w:rPr>
          <w:rFonts w:ascii="Arial" w:hAnsi="Arial" w:cs="Arial"/>
          <w:sz w:val="22"/>
          <w:szCs w:val="22"/>
        </w:rPr>
        <w:t xml:space="preserve">aanwijzingen geeft </w:t>
      </w:r>
      <w:r w:rsidR="00DA361C">
        <w:rPr>
          <w:rFonts w:ascii="Arial" w:hAnsi="Arial" w:cs="Arial"/>
          <w:sz w:val="22"/>
          <w:szCs w:val="22"/>
        </w:rPr>
        <w:t>in het kader van</w:t>
      </w:r>
      <w:r w:rsidR="00D06AE0">
        <w:rPr>
          <w:rFonts w:ascii="Arial" w:hAnsi="Arial" w:cs="Arial"/>
          <w:sz w:val="22"/>
          <w:szCs w:val="22"/>
        </w:rPr>
        <w:t xml:space="preserve"> de opname van </w:t>
      </w:r>
      <w:r w:rsidR="00B211CC">
        <w:rPr>
          <w:rFonts w:ascii="Arial" w:hAnsi="Arial" w:cs="Arial"/>
          <w:sz w:val="22"/>
          <w:szCs w:val="22"/>
        </w:rPr>
        <w:t>andermans</w:t>
      </w:r>
      <w:r w:rsidR="00D06AE0">
        <w:rPr>
          <w:rFonts w:ascii="Arial" w:hAnsi="Arial" w:cs="Arial"/>
          <w:sz w:val="22"/>
          <w:szCs w:val="22"/>
        </w:rPr>
        <w:t xml:space="preserve"> uitvoering van een werk</w:t>
      </w:r>
      <w:r w:rsidR="00DA361C">
        <w:rPr>
          <w:rFonts w:ascii="Arial" w:hAnsi="Arial" w:cs="Arial"/>
          <w:sz w:val="22"/>
          <w:szCs w:val="22"/>
        </w:rPr>
        <w:t>,</w:t>
      </w:r>
      <w:r w:rsidR="00D06AE0">
        <w:rPr>
          <w:rFonts w:ascii="Arial" w:hAnsi="Arial" w:cs="Arial"/>
          <w:sz w:val="22"/>
          <w:szCs w:val="22"/>
        </w:rPr>
        <w:t xml:space="preserve"> zelf géén uitvoerende kunstenaar is</w:t>
      </w:r>
      <w:r w:rsidR="005B704B">
        <w:rPr>
          <w:rFonts w:ascii="Arial" w:hAnsi="Arial" w:cs="Arial"/>
          <w:sz w:val="22"/>
          <w:szCs w:val="22"/>
        </w:rPr>
        <w:t xml:space="preserve"> als bedoeld in de </w:t>
      </w:r>
      <w:proofErr w:type="spellStart"/>
      <w:r w:rsidR="005B704B">
        <w:rPr>
          <w:rFonts w:ascii="Arial" w:hAnsi="Arial" w:cs="Arial"/>
          <w:sz w:val="22"/>
          <w:szCs w:val="22"/>
        </w:rPr>
        <w:t>Wnr</w:t>
      </w:r>
      <w:proofErr w:type="spellEnd"/>
      <w:r w:rsidR="00AC6C3C">
        <w:rPr>
          <w:rFonts w:ascii="Arial" w:hAnsi="Arial" w:cs="Arial"/>
          <w:sz w:val="22"/>
          <w:szCs w:val="22"/>
        </w:rPr>
        <w:t>.</w:t>
      </w:r>
      <w:r w:rsidR="00A26F80">
        <w:rPr>
          <w:rStyle w:val="Voetnootmarkering"/>
          <w:rFonts w:ascii="Arial" w:hAnsi="Arial" w:cs="Arial"/>
          <w:sz w:val="22"/>
          <w:szCs w:val="22"/>
        </w:rPr>
        <w:footnoteReference w:id="6"/>
      </w:r>
      <w:r w:rsidR="00A26F80">
        <w:rPr>
          <w:rFonts w:ascii="Arial" w:hAnsi="Arial" w:cs="Arial"/>
          <w:sz w:val="22"/>
          <w:szCs w:val="22"/>
        </w:rPr>
        <w:t xml:space="preserve"> Het Hof overweegt </w:t>
      </w:r>
      <w:r w:rsidR="00B211CC">
        <w:rPr>
          <w:rFonts w:ascii="Arial" w:hAnsi="Arial" w:cs="Arial"/>
          <w:sz w:val="22"/>
          <w:szCs w:val="22"/>
        </w:rPr>
        <w:t xml:space="preserve">dat de creatieve werkzaamheden van </w:t>
      </w:r>
      <w:proofErr w:type="spellStart"/>
      <w:r w:rsidR="00B211CC">
        <w:rPr>
          <w:rFonts w:ascii="Arial" w:hAnsi="Arial" w:cs="Arial"/>
          <w:sz w:val="22"/>
          <w:szCs w:val="22"/>
        </w:rPr>
        <w:t>Garrix</w:t>
      </w:r>
      <w:proofErr w:type="spellEnd"/>
      <w:r w:rsidR="00B211CC">
        <w:rPr>
          <w:rFonts w:ascii="Arial" w:hAnsi="Arial" w:cs="Arial"/>
          <w:sz w:val="22"/>
          <w:szCs w:val="22"/>
        </w:rPr>
        <w:t xml:space="preserve"> als </w:t>
      </w:r>
      <w:r w:rsidR="00B211CC" w:rsidRPr="004B2A64">
        <w:rPr>
          <w:rFonts w:ascii="Arial" w:hAnsi="Arial" w:cs="Arial"/>
          <w:iCs/>
          <w:sz w:val="22"/>
          <w:szCs w:val="22"/>
        </w:rPr>
        <w:t>deejay</w:t>
      </w:r>
      <w:r w:rsidR="00B211CC">
        <w:rPr>
          <w:rFonts w:ascii="Arial" w:hAnsi="Arial" w:cs="Arial"/>
          <w:sz w:val="22"/>
          <w:szCs w:val="22"/>
        </w:rPr>
        <w:t xml:space="preserve"> die zijn eigen muziek uitvoert niet te vergelijken zijn met die van de geluidsproducer</w:t>
      </w:r>
      <w:r w:rsidR="009E418C">
        <w:rPr>
          <w:rFonts w:ascii="Arial" w:hAnsi="Arial" w:cs="Arial"/>
          <w:sz w:val="22"/>
          <w:szCs w:val="22"/>
        </w:rPr>
        <w:t xml:space="preserve">. </w:t>
      </w:r>
      <w:r w:rsidR="005B704B">
        <w:rPr>
          <w:rFonts w:ascii="Arial" w:hAnsi="Arial" w:cs="Arial"/>
          <w:sz w:val="22"/>
          <w:szCs w:val="22"/>
        </w:rPr>
        <w:t xml:space="preserve">Bij </w:t>
      </w:r>
      <w:r w:rsidR="00B211CC">
        <w:rPr>
          <w:rFonts w:ascii="Arial" w:hAnsi="Arial" w:cs="Arial"/>
          <w:sz w:val="22"/>
          <w:szCs w:val="22"/>
        </w:rPr>
        <w:t xml:space="preserve">elektronische muziek </w:t>
      </w:r>
      <w:r>
        <w:rPr>
          <w:rFonts w:ascii="Arial" w:hAnsi="Arial" w:cs="Arial"/>
          <w:sz w:val="22"/>
          <w:szCs w:val="22"/>
        </w:rPr>
        <w:t xml:space="preserve">vallen </w:t>
      </w:r>
      <w:r w:rsidR="00B211CC">
        <w:rPr>
          <w:rFonts w:ascii="Arial" w:hAnsi="Arial" w:cs="Arial"/>
          <w:sz w:val="22"/>
          <w:szCs w:val="22"/>
        </w:rPr>
        <w:t>het moment van componeren en uitvoeren</w:t>
      </w:r>
      <w:r>
        <w:rPr>
          <w:rFonts w:ascii="Arial" w:hAnsi="Arial" w:cs="Arial"/>
          <w:sz w:val="22"/>
          <w:szCs w:val="22"/>
        </w:rPr>
        <w:t xml:space="preserve"> doorgaans </w:t>
      </w:r>
      <w:r w:rsidR="00B211CC">
        <w:rPr>
          <w:rFonts w:ascii="Arial" w:hAnsi="Arial" w:cs="Arial"/>
          <w:sz w:val="22"/>
          <w:szCs w:val="22"/>
        </w:rPr>
        <w:t xml:space="preserve">samen. Het Hof gaat </w:t>
      </w:r>
      <w:r>
        <w:rPr>
          <w:rFonts w:ascii="Arial" w:hAnsi="Arial" w:cs="Arial"/>
          <w:sz w:val="22"/>
          <w:szCs w:val="22"/>
        </w:rPr>
        <w:t xml:space="preserve">nog </w:t>
      </w:r>
      <w:r w:rsidR="00B211CC">
        <w:rPr>
          <w:rFonts w:ascii="Arial" w:hAnsi="Arial" w:cs="Arial"/>
          <w:sz w:val="22"/>
          <w:szCs w:val="22"/>
        </w:rPr>
        <w:t xml:space="preserve">een stap verder en overweegt dat in de praktijk niet wordt getwijfeld aan de hoedanigheid van </w:t>
      </w:r>
      <w:r w:rsidR="00B211CC" w:rsidRPr="004B2A64">
        <w:rPr>
          <w:rFonts w:ascii="Arial" w:hAnsi="Arial" w:cs="Arial"/>
          <w:iCs/>
          <w:sz w:val="22"/>
          <w:szCs w:val="22"/>
        </w:rPr>
        <w:t>deejays</w:t>
      </w:r>
      <w:r w:rsidR="00B211CC">
        <w:rPr>
          <w:rFonts w:ascii="Arial" w:hAnsi="Arial" w:cs="Arial"/>
          <w:sz w:val="22"/>
          <w:szCs w:val="22"/>
        </w:rPr>
        <w:t xml:space="preserve"> als uitvoerende kunstenaars.</w:t>
      </w:r>
      <w:r w:rsidR="0084031E">
        <w:rPr>
          <w:rFonts w:ascii="Arial" w:hAnsi="Arial" w:cs="Arial"/>
          <w:sz w:val="22"/>
          <w:szCs w:val="22"/>
        </w:rPr>
        <w:t xml:space="preserve"> Zo beschouwen ook SENA en de </w:t>
      </w:r>
      <w:r w:rsidR="0084031E">
        <w:rPr>
          <w:rFonts w:ascii="Arial" w:hAnsi="Arial" w:cs="Arial"/>
          <w:sz w:val="22"/>
          <w:szCs w:val="22"/>
        </w:rPr>
        <w:lastRenderedPageBreak/>
        <w:t>belastingdienst</w:t>
      </w:r>
      <w:r w:rsidR="00DC16C5">
        <w:rPr>
          <w:rStyle w:val="Voetnootmarkering"/>
          <w:rFonts w:ascii="Arial" w:hAnsi="Arial" w:cs="Arial"/>
          <w:sz w:val="22"/>
          <w:szCs w:val="22"/>
        </w:rPr>
        <w:footnoteReference w:id="7"/>
      </w:r>
      <w:r w:rsidR="0084031E">
        <w:rPr>
          <w:rFonts w:ascii="Arial" w:hAnsi="Arial" w:cs="Arial"/>
          <w:sz w:val="22"/>
          <w:szCs w:val="22"/>
        </w:rPr>
        <w:t xml:space="preserve"> </w:t>
      </w:r>
      <w:r w:rsidR="0084031E" w:rsidRPr="004B2A64">
        <w:rPr>
          <w:rFonts w:ascii="Arial" w:hAnsi="Arial" w:cs="Arial"/>
          <w:iCs/>
          <w:sz w:val="22"/>
          <w:szCs w:val="22"/>
        </w:rPr>
        <w:t>deejays</w:t>
      </w:r>
      <w:r w:rsidR="0084031E">
        <w:rPr>
          <w:rFonts w:ascii="Arial" w:hAnsi="Arial" w:cs="Arial"/>
          <w:sz w:val="22"/>
          <w:szCs w:val="22"/>
        </w:rPr>
        <w:t xml:space="preserve"> als uitvoerende kunstenaars. Op zichzelf een juiste constatering</w:t>
      </w:r>
      <w:r w:rsidR="001A7748">
        <w:rPr>
          <w:rFonts w:ascii="Arial" w:hAnsi="Arial" w:cs="Arial"/>
          <w:sz w:val="22"/>
          <w:szCs w:val="22"/>
        </w:rPr>
        <w:t xml:space="preserve">, zij het dat de door het Hof gebruikte terminologie niet helemaal aansluit bij de muziekpraktijk. Naar mijn mening gaat het hier om de beoordeling van </w:t>
      </w:r>
      <w:proofErr w:type="spellStart"/>
      <w:r w:rsidR="001A7748">
        <w:rPr>
          <w:rFonts w:ascii="Arial" w:hAnsi="Arial" w:cs="Arial"/>
          <w:sz w:val="22"/>
          <w:szCs w:val="22"/>
        </w:rPr>
        <w:t>Garrix</w:t>
      </w:r>
      <w:proofErr w:type="spellEnd"/>
      <w:r w:rsidR="001A7748">
        <w:rPr>
          <w:rFonts w:ascii="Arial" w:hAnsi="Arial" w:cs="Arial"/>
          <w:sz w:val="22"/>
          <w:szCs w:val="22"/>
        </w:rPr>
        <w:t xml:space="preserve"> in zijn hoedanigheid van producer die </w:t>
      </w:r>
      <w:r w:rsidR="001A0382">
        <w:rPr>
          <w:rFonts w:ascii="Arial" w:hAnsi="Arial" w:cs="Arial"/>
          <w:sz w:val="22"/>
          <w:szCs w:val="22"/>
        </w:rPr>
        <w:t xml:space="preserve">op </w:t>
      </w:r>
      <w:r w:rsidR="00A40E8A">
        <w:rPr>
          <w:rFonts w:ascii="Arial" w:hAnsi="Arial" w:cs="Arial"/>
          <w:sz w:val="22"/>
          <w:szCs w:val="22"/>
        </w:rPr>
        <w:t xml:space="preserve">een en </w:t>
      </w:r>
      <w:r w:rsidR="001A0382">
        <w:rPr>
          <w:rFonts w:ascii="Arial" w:hAnsi="Arial" w:cs="Arial"/>
          <w:sz w:val="22"/>
          <w:szCs w:val="22"/>
        </w:rPr>
        <w:t>hetzelfde moment</w:t>
      </w:r>
      <w:r w:rsidR="001A7748">
        <w:rPr>
          <w:rFonts w:ascii="Arial" w:hAnsi="Arial" w:cs="Arial"/>
          <w:sz w:val="22"/>
          <w:szCs w:val="22"/>
        </w:rPr>
        <w:t xml:space="preserve"> zijn eigen </w:t>
      </w:r>
      <w:r w:rsidR="001A0382">
        <w:rPr>
          <w:rFonts w:ascii="Arial" w:hAnsi="Arial" w:cs="Arial"/>
          <w:sz w:val="22"/>
          <w:szCs w:val="22"/>
        </w:rPr>
        <w:t>muziekwerken componeert, uitvoert en opneemt</w:t>
      </w:r>
      <w:r w:rsidR="002C7CB8">
        <w:rPr>
          <w:rFonts w:ascii="Arial" w:hAnsi="Arial" w:cs="Arial"/>
          <w:sz w:val="22"/>
          <w:szCs w:val="22"/>
        </w:rPr>
        <w:t xml:space="preserve">. Hiermee onderscheidt </w:t>
      </w:r>
      <w:proofErr w:type="spellStart"/>
      <w:r w:rsidR="002C7CB8">
        <w:rPr>
          <w:rFonts w:ascii="Arial" w:hAnsi="Arial" w:cs="Arial"/>
          <w:sz w:val="22"/>
          <w:szCs w:val="22"/>
        </w:rPr>
        <w:t>Garrix</w:t>
      </w:r>
      <w:proofErr w:type="spellEnd"/>
      <w:r w:rsidR="002C7CB8">
        <w:rPr>
          <w:rFonts w:ascii="Arial" w:hAnsi="Arial" w:cs="Arial"/>
          <w:sz w:val="22"/>
          <w:szCs w:val="22"/>
        </w:rPr>
        <w:t xml:space="preserve"> zich van de </w:t>
      </w:r>
      <w:proofErr w:type="gramStart"/>
      <w:r w:rsidR="002C7CB8">
        <w:rPr>
          <w:rFonts w:ascii="Arial" w:hAnsi="Arial" w:cs="Arial"/>
          <w:sz w:val="22"/>
          <w:szCs w:val="22"/>
        </w:rPr>
        <w:t>eerder genoemde</w:t>
      </w:r>
      <w:proofErr w:type="gramEnd"/>
      <w:r w:rsidR="002C7CB8">
        <w:rPr>
          <w:rFonts w:ascii="Arial" w:hAnsi="Arial" w:cs="Arial"/>
          <w:sz w:val="22"/>
          <w:szCs w:val="22"/>
        </w:rPr>
        <w:t xml:space="preserve"> ‘ouderwetse’ geluidsproducer</w:t>
      </w:r>
      <w:r w:rsidR="001D6555">
        <w:rPr>
          <w:rFonts w:ascii="Arial" w:hAnsi="Arial" w:cs="Arial"/>
          <w:sz w:val="22"/>
          <w:szCs w:val="22"/>
        </w:rPr>
        <w:t xml:space="preserve"> die in de regel alleen het maken van de opname begeleidt</w:t>
      </w:r>
      <w:r w:rsidR="001A0382">
        <w:rPr>
          <w:rFonts w:ascii="Arial" w:hAnsi="Arial" w:cs="Arial"/>
          <w:sz w:val="22"/>
          <w:szCs w:val="22"/>
        </w:rPr>
        <w:t>.</w:t>
      </w:r>
      <w:r w:rsidR="0068647E">
        <w:rPr>
          <w:rStyle w:val="Voetnootmarkering"/>
          <w:rFonts w:ascii="Arial" w:hAnsi="Arial" w:cs="Arial"/>
          <w:sz w:val="22"/>
          <w:szCs w:val="22"/>
        </w:rPr>
        <w:footnoteReference w:id="8"/>
      </w:r>
      <w:r w:rsidR="001A0382">
        <w:rPr>
          <w:rFonts w:ascii="Arial" w:hAnsi="Arial" w:cs="Arial"/>
          <w:sz w:val="22"/>
          <w:szCs w:val="22"/>
        </w:rPr>
        <w:t xml:space="preserve"> </w:t>
      </w:r>
    </w:p>
    <w:p w14:paraId="09ABBC0F" w14:textId="77777777" w:rsidR="001D6555" w:rsidRDefault="001D6555" w:rsidP="006F25CF">
      <w:pPr>
        <w:spacing w:line="300" w:lineRule="auto"/>
        <w:jc w:val="both"/>
        <w:rPr>
          <w:rFonts w:ascii="Arial" w:hAnsi="Arial" w:cs="Arial"/>
          <w:sz w:val="22"/>
          <w:szCs w:val="22"/>
        </w:rPr>
      </w:pPr>
    </w:p>
    <w:p w14:paraId="287933F1" w14:textId="04F170D3" w:rsidR="00956166" w:rsidRDefault="00A40E8A" w:rsidP="006F25CF">
      <w:pPr>
        <w:spacing w:line="300" w:lineRule="auto"/>
        <w:jc w:val="both"/>
        <w:rPr>
          <w:rFonts w:ascii="Arial" w:hAnsi="Arial" w:cs="Arial"/>
          <w:sz w:val="22"/>
          <w:szCs w:val="22"/>
        </w:rPr>
      </w:pPr>
      <w:r>
        <w:rPr>
          <w:rFonts w:ascii="Arial" w:hAnsi="Arial" w:cs="Arial"/>
          <w:sz w:val="22"/>
          <w:szCs w:val="22"/>
        </w:rPr>
        <w:t xml:space="preserve">Opvallend </w:t>
      </w:r>
      <w:r w:rsidR="00FD599E">
        <w:rPr>
          <w:rFonts w:ascii="Arial" w:hAnsi="Arial" w:cs="Arial"/>
          <w:sz w:val="22"/>
          <w:szCs w:val="22"/>
        </w:rPr>
        <w:t xml:space="preserve">is dat het Hof in algemene zin oordeelt dat óók </w:t>
      </w:r>
      <w:r w:rsidR="001A7748" w:rsidRPr="004B2A64">
        <w:rPr>
          <w:rFonts w:ascii="Arial" w:hAnsi="Arial" w:cs="Arial"/>
          <w:iCs/>
          <w:sz w:val="22"/>
          <w:szCs w:val="22"/>
        </w:rPr>
        <w:t>deejay</w:t>
      </w:r>
      <w:r w:rsidR="00FD599E" w:rsidRPr="004B2A64">
        <w:rPr>
          <w:rFonts w:ascii="Arial" w:hAnsi="Arial" w:cs="Arial"/>
          <w:iCs/>
          <w:sz w:val="22"/>
          <w:szCs w:val="22"/>
        </w:rPr>
        <w:t>s</w:t>
      </w:r>
      <w:r w:rsidR="00FD599E">
        <w:rPr>
          <w:rFonts w:ascii="Arial" w:hAnsi="Arial" w:cs="Arial"/>
          <w:sz w:val="22"/>
          <w:szCs w:val="22"/>
        </w:rPr>
        <w:t xml:space="preserve"> uitvoerende kunstenaars zijn</w:t>
      </w:r>
      <w:r w:rsidR="001A7748">
        <w:rPr>
          <w:rFonts w:ascii="Arial" w:hAnsi="Arial" w:cs="Arial"/>
          <w:sz w:val="22"/>
          <w:szCs w:val="22"/>
        </w:rPr>
        <w:t>.</w:t>
      </w:r>
      <w:r w:rsidR="005A6934">
        <w:rPr>
          <w:rFonts w:ascii="Arial" w:hAnsi="Arial" w:cs="Arial"/>
          <w:sz w:val="22"/>
          <w:szCs w:val="22"/>
        </w:rPr>
        <w:t xml:space="preserve"> Strikt genomen zijn </w:t>
      </w:r>
      <w:r w:rsidR="005A6934" w:rsidRPr="004B2A64">
        <w:rPr>
          <w:rFonts w:ascii="Arial" w:hAnsi="Arial" w:cs="Arial"/>
          <w:iCs/>
          <w:sz w:val="22"/>
          <w:szCs w:val="22"/>
        </w:rPr>
        <w:t>deejays</w:t>
      </w:r>
      <w:r w:rsidR="005A6934">
        <w:rPr>
          <w:rFonts w:ascii="Arial" w:hAnsi="Arial" w:cs="Arial"/>
          <w:sz w:val="22"/>
          <w:szCs w:val="22"/>
        </w:rPr>
        <w:t xml:space="preserve"> geen producers maar artiesten die muziek van zichzelf en anderen op creatieve wijze mixen en</w:t>
      </w:r>
      <w:r w:rsidR="00C27DDD">
        <w:rPr>
          <w:rFonts w:ascii="Arial" w:hAnsi="Arial" w:cs="Arial"/>
          <w:sz w:val="22"/>
          <w:szCs w:val="22"/>
        </w:rPr>
        <w:t xml:space="preserve"> al dan niet live</w:t>
      </w:r>
      <w:r w:rsidR="005A6934">
        <w:rPr>
          <w:rFonts w:ascii="Arial" w:hAnsi="Arial" w:cs="Arial"/>
          <w:sz w:val="22"/>
          <w:szCs w:val="22"/>
        </w:rPr>
        <w:t xml:space="preserve"> ten gehore brengen</w:t>
      </w:r>
      <w:r w:rsidR="001A54B9">
        <w:rPr>
          <w:rStyle w:val="Voetnootmarkering"/>
          <w:rFonts w:ascii="Arial" w:hAnsi="Arial" w:cs="Arial"/>
          <w:sz w:val="22"/>
          <w:szCs w:val="22"/>
        </w:rPr>
        <w:footnoteReference w:id="9"/>
      </w:r>
      <w:r w:rsidR="005A6934">
        <w:rPr>
          <w:rFonts w:ascii="Arial" w:hAnsi="Arial" w:cs="Arial"/>
          <w:sz w:val="22"/>
          <w:szCs w:val="22"/>
        </w:rPr>
        <w:t>.</w:t>
      </w:r>
      <w:r w:rsidR="00C27DDD">
        <w:rPr>
          <w:rFonts w:ascii="Arial" w:hAnsi="Arial" w:cs="Arial"/>
          <w:sz w:val="22"/>
          <w:szCs w:val="22"/>
        </w:rPr>
        <w:t xml:space="preserve"> Bij mijn weten is het de eerste keer dat de rechter </w:t>
      </w:r>
      <w:r w:rsidR="00C27DDD" w:rsidRPr="004B2A64">
        <w:rPr>
          <w:rFonts w:ascii="Arial" w:hAnsi="Arial" w:cs="Arial"/>
          <w:iCs/>
          <w:sz w:val="22"/>
          <w:szCs w:val="22"/>
        </w:rPr>
        <w:t>deejays</w:t>
      </w:r>
      <w:r w:rsidR="00C27DDD" w:rsidRPr="00C27DDD">
        <w:rPr>
          <w:rFonts w:ascii="Arial" w:hAnsi="Arial" w:cs="Arial"/>
          <w:i/>
          <w:sz w:val="22"/>
          <w:szCs w:val="22"/>
        </w:rPr>
        <w:t xml:space="preserve"> </w:t>
      </w:r>
      <w:r w:rsidR="00C27DDD">
        <w:rPr>
          <w:rFonts w:ascii="Arial" w:hAnsi="Arial" w:cs="Arial"/>
          <w:sz w:val="22"/>
          <w:szCs w:val="22"/>
        </w:rPr>
        <w:t xml:space="preserve">erkent als uitvoerende kunstenaars. Dat roept meteen interessante vragen op. Kunnen deejays nu aanspraak maken op een billijke vergoeding voor de secundaire openbaarmaking van de geluidsopnamen van hun dj-sets of dj-mixen, en zo ja, kunnen zij zich hiervoor als uitvoerende kunstenaars aanmelden bij SENA? Elektronische muziek bestaat in Nederland al ruim 30 jaar </w:t>
      </w:r>
      <w:r w:rsidR="004B5D89">
        <w:rPr>
          <w:rFonts w:ascii="Arial" w:hAnsi="Arial" w:cs="Arial"/>
          <w:sz w:val="22"/>
          <w:szCs w:val="22"/>
        </w:rPr>
        <w:t xml:space="preserve">en </w:t>
      </w:r>
      <w:r w:rsidR="001B6915">
        <w:rPr>
          <w:rFonts w:ascii="Arial" w:hAnsi="Arial" w:cs="Arial"/>
          <w:sz w:val="22"/>
          <w:szCs w:val="22"/>
        </w:rPr>
        <w:t xml:space="preserve">de </w:t>
      </w:r>
      <w:r w:rsidR="00C27DDD">
        <w:rPr>
          <w:rFonts w:ascii="Arial" w:hAnsi="Arial" w:cs="Arial"/>
          <w:sz w:val="22"/>
          <w:szCs w:val="22"/>
        </w:rPr>
        <w:t>draaikunst</w:t>
      </w:r>
      <w:r w:rsidR="004B5D89">
        <w:rPr>
          <w:rFonts w:ascii="Arial" w:hAnsi="Arial" w:cs="Arial"/>
          <w:sz w:val="22"/>
          <w:szCs w:val="22"/>
        </w:rPr>
        <w:t xml:space="preserve"> van deejays vormt daar een wezenlijk onderdeel van. </w:t>
      </w:r>
      <w:r w:rsidR="00872C0D">
        <w:rPr>
          <w:rFonts w:ascii="Arial" w:hAnsi="Arial" w:cs="Arial"/>
          <w:sz w:val="22"/>
          <w:szCs w:val="22"/>
        </w:rPr>
        <w:t xml:space="preserve">Niet voor niets behoren Nederlandse </w:t>
      </w:r>
      <w:r w:rsidR="00872C0D" w:rsidRPr="004B2A64">
        <w:rPr>
          <w:rFonts w:ascii="Arial" w:hAnsi="Arial" w:cs="Arial"/>
          <w:iCs/>
          <w:sz w:val="22"/>
          <w:szCs w:val="22"/>
        </w:rPr>
        <w:t>deejays</w:t>
      </w:r>
      <w:r w:rsidR="00872C0D" w:rsidRPr="00971E1F">
        <w:rPr>
          <w:rFonts w:ascii="Arial" w:hAnsi="Arial" w:cs="Arial"/>
          <w:iCs/>
          <w:sz w:val="22"/>
          <w:szCs w:val="22"/>
        </w:rPr>
        <w:t xml:space="preserve"> </w:t>
      </w:r>
      <w:r w:rsidR="00872C0D">
        <w:rPr>
          <w:rFonts w:ascii="Arial" w:hAnsi="Arial" w:cs="Arial"/>
          <w:sz w:val="22"/>
          <w:szCs w:val="22"/>
        </w:rPr>
        <w:t>al decennialang tot de wereld</w:t>
      </w:r>
      <w:r w:rsidR="001B6915">
        <w:rPr>
          <w:rFonts w:ascii="Arial" w:hAnsi="Arial" w:cs="Arial"/>
          <w:sz w:val="22"/>
          <w:szCs w:val="22"/>
        </w:rPr>
        <w:t>top</w:t>
      </w:r>
      <w:r w:rsidR="00872C0D">
        <w:rPr>
          <w:rFonts w:ascii="Arial" w:hAnsi="Arial" w:cs="Arial"/>
          <w:sz w:val="22"/>
          <w:szCs w:val="22"/>
        </w:rPr>
        <w:t xml:space="preserve">. </w:t>
      </w:r>
      <w:r w:rsidR="006C38DB">
        <w:rPr>
          <w:rFonts w:ascii="Arial" w:hAnsi="Arial" w:cs="Arial"/>
          <w:sz w:val="22"/>
          <w:szCs w:val="22"/>
        </w:rPr>
        <w:t>Mogelijk is de overweging van het Hof een aanzet tot nabuurrechtelijke erkenning van deejays in de praktijk.</w:t>
      </w:r>
    </w:p>
    <w:p w14:paraId="09F61257" w14:textId="115A6DD2" w:rsidR="00956166" w:rsidRDefault="00956166" w:rsidP="006F25CF">
      <w:pPr>
        <w:spacing w:line="300" w:lineRule="auto"/>
        <w:jc w:val="both"/>
        <w:rPr>
          <w:rFonts w:ascii="Arial" w:hAnsi="Arial" w:cs="Arial"/>
          <w:sz w:val="22"/>
          <w:szCs w:val="22"/>
        </w:rPr>
      </w:pPr>
    </w:p>
    <w:p w14:paraId="5533D9E5" w14:textId="095920DF" w:rsidR="009E418C" w:rsidRPr="009E418C" w:rsidRDefault="009E418C" w:rsidP="006F25CF">
      <w:pPr>
        <w:spacing w:line="300" w:lineRule="auto"/>
        <w:jc w:val="both"/>
        <w:rPr>
          <w:rFonts w:ascii="Arial" w:hAnsi="Arial" w:cs="Arial"/>
          <w:b/>
          <w:sz w:val="22"/>
          <w:szCs w:val="22"/>
        </w:rPr>
      </w:pPr>
      <w:r w:rsidRPr="009E418C">
        <w:rPr>
          <w:rFonts w:ascii="Arial" w:hAnsi="Arial" w:cs="Arial"/>
          <w:b/>
          <w:sz w:val="22"/>
          <w:szCs w:val="22"/>
        </w:rPr>
        <w:t>Reflexwerking auteurscontractenrecht</w:t>
      </w:r>
    </w:p>
    <w:p w14:paraId="02C66D44" w14:textId="2F3B0DDF" w:rsidR="009E418C" w:rsidRDefault="00BD156F" w:rsidP="009E418C">
      <w:pPr>
        <w:spacing w:line="300" w:lineRule="auto"/>
        <w:jc w:val="both"/>
        <w:rPr>
          <w:rFonts w:ascii="Arial" w:hAnsi="Arial" w:cs="Arial"/>
          <w:sz w:val="22"/>
          <w:szCs w:val="22"/>
        </w:rPr>
      </w:pPr>
      <w:proofErr w:type="spellStart"/>
      <w:r>
        <w:rPr>
          <w:rFonts w:ascii="Arial" w:hAnsi="Arial" w:cs="Arial"/>
          <w:sz w:val="22"/>
          <w:szCs w:val="22"/>
        </w:rPr>
        <w:t>Garrix</w:t>
      </w:r>
      <w:proofErr w:type="spellEnd"/>
      <w:r>
        <w:rPr>
          <w:rFonts w:ascii="Arial" w:hAnsi="Arial" w:cs="Arial"/>
          <w:sz w:val="22"/>
          <w:szCs w:val="22"/>
        </w:rPr>
        <w:t xml:space="preserve"> beroept zich </w:t>
      </w:r>
      <w:r w:rsidR="006C38DB">
        <w:rPr>
          <w:rFonts w:ascii="Arial" w:hAnsi="Arial" w:cs="Arial"/>
          <w:sz w:val="22"/>
          <w:szCs w:val="22"/>
        </w:rPr>
        <w:t xml:space="preserve">behalve op </w:t>
      </w:r>
      <w:r>
        <w:rPr>
          <w:rFonts w:ascii="Arial" w:hAnsi="Arial" w:cs="Arial"/>
          <w:sz w:val="22"/>
          <w:szCs w:val="22"/>
        </w:rPr>
        <w:t>wilsgebreken tevens op vernietiging wegens het bestaan van onredelijk bezwarende bedingen in de zin van artikel 25f lid 2 Auteurswet (</w:t>
      </w:r>
      <w:proofErr w:type="spellStart"/>
      <w:r>
        <w:rPr>
          <w:rFonts w:ascii="Arial" w:hAnsi="Arial" w:cs="Arial"/>
          <w:sz w:val="22"/>
          <w:szCs w:val="22"/>
        </w:rPr>
        <w:t>Aw</w:t>
      </w:r>
      <w:proofErr w:type="spellEnd"/>
      <w:r>
        <w:rPr>
          <w:rFonts w:ascii="Arial" w:hAnsi="Arial" w:cs="Arial"/>
          <w:sz w:val="22"/>
          <w:szCs w:val="22"/>
        </w:rPr>
        <w:t xml:space="preserve">). Niet in geschil is dat de productieovereenkomst met </w:t>
      </w:r>
      <w:proofErr w:type="spellStart"/>
      <w:r>
        <w:rPr>
          <w:rFonts w:ascii="Arial" w:hAnsi="Arial" w:cs="Arial"/>
          <w:sz w:val="22"/>
          <w:szCs w:val="22"/>
        </w:rPr>
        <w:t>Spinnin</w:t>
      </w:r>
      <w:proofErr w:type="spellEnd"/>
      <w:r>
        <w:rPr>
          <w:rFonts w:ascii="Arial" w:hAnsi="Arial" w:cs="Arial"/>
          <w:sz w:val="22"/>
          <w:szCs w:val="22"/>
        </w:rPr>
        <w:t xml:space="preserve">’ Records een exploitatieovereenkomst is als bedoeld in artikel 25b </w:t>
      </w:r>
      <w:proofErr w:type="spellStart"/>
      <w:r>
        <w:rPr>
          <w:rFonts w:ascii="Arial" w:hAnsi="Arial" w:cs="Arial"/>
          <w:sz w:val="22"/>
          <w:szCs w:val="22"/>
        </w:rPr>
        <w:t>Aw</w:t>
      </w:r>
      <w:proofErr w:type="spellEnd"/>
      <w:r>
        <w:rPr>
          <w:rFonts w:ascii="Arial" w:hAnsi="Arial" w:cs="Arial"/>
          <w:sz w:val="22"/>
          <w:szCs w:val="22"/>
        </w:rPr>
        <w:t xml:space="preserve">. </w:t>
      </w:r>
      <w:proofErr w:type="spellStart"/>
      <w:r w:rsidR="00956166">
        <w:rPr>
          <w:rFonts w:ascii="Arial" w:hAnsi="Arial" w:cs="Arial"/>
          <w:sz w:val="22"/>
          <w:szCs w:val="22"/>
        </w:rPr>
        <w:t>Garrix</w:t>
      </w:r>
      <w:proofErr w:type="spellEnd"/>
      <w:r w:rsidR="00956166">
        <w:rPr>
          <w:rFonts w:ascii="Arial" w:hAnsi="Arial" w:cs="Arial"/>
          <w:sz w:val="22"/>
          <w:szCs w:val="22"/>
        </w:rPr>
        <w:t xml:space="preserve"> </w:t>
      </w:r>
      <w:r w:rsidR="006D1944">
        <w:rPr>
          <w:rFonts w:ascii="Arial" w:hAnsi="Arial" w:cs="Arial"/>
          <w:sz w:val="22"/>
          <w:szCs w:val="22"/>
        </w:rPr>
        <w:t>kan in zijn hoedanigheid van</w:t>
      </w:r>
      <w:r w:rsidR="00956166">
        <w:rPr>
          <w:rFonts w:ascii="Arial" w:hAnsi="Arial" w:cs="Arial"/>
          <w:sz w:val="22"/>
          <w:szCs w:val="22"/>
        </w:rPr>
        <w:t xml:space="preserve"> uitvoerende kunstenaar</w:t>
      </w:r>
      <w:r w:rsidR="00C92F29">
        <w:rPr>
          <w:rFonts w:ascii="Arial" w:hAnsi="Arial" w:cs="Arial"/>
          <w:sz w:val="22"/>
          <w:szCs w:val="22"/>
        </w:rPr>
        <w:t xml:space="preserve"> op grond van de schakelbepaling </w:t>
      </w:r>
      <w:r w:rsidR="00F9005F">
        <w:rPr>
          <w:rFonts w:ascii="Arial" w:hAnsi="Arial" w:cs="Arial"/>
          <w:sz w:val="22"/>
          <w:szCs w:val="22"/>
        </w:rPr>
        <w:t xml:space="preserve">van artikel </w:t>
      </w:r>
      <w:r w:rsidR="00C92F29">
        <w:rPr>
          <w:rFonts w:ascii="Arial" w:hAnsi="Arial" w:cs="Arial"/>
          <w:sz w:val="22"/>
          <w:szCs w:val="22"/>
        </w:rPr>
        <w:t xml:space="preserve">2b </w:t>
      </w:r>
      <w:proofErr w:type="spellStart"/>
      <w:r w:rsidR="00C92F29">
        <w:rPr>
          <w:rFonts w:ascii="Arial" w:hAnsi="Arial" w:cs="Arial"/>
          <w:sz w:val="22"/>
          <w:szCs w:val="22"/>
        </w:rPr>
        <w:t>Wnr</w:t>
      </w:r>
      <w:proofErr w:type="spellEnd"/>
      <w:r w:rsidR="00EE2C59">
        <w:rPr>
          <w:rFonts w:ascii="Arial" w:hAnsi="Arial" w:cs="Arial"/>
          <w:sz w:val="22"/>
          <w:szCs w:val="22"/>
        </w:rPr>
        <w:t xml:space="preserve"> de bijzondere bescherming inroepen van </w:t>
      </w:r>
      <w:r w:rsidR="00B86326">
        <w:rPr>
          <w:rFonts w:ascii="Arial" w:hAnsi="Arial" w:cs="Arial"/>
          <w:sz w:val="22"/>
          <w:szCs w:val="22"/>
        </w:rPr>
        <w:t xml:space="preserve">de redelijkheidstoets van </w:t>
      </w:r>
      <w:r w:rsidR="00C92F29">
        <w:rPr>
          <w:rFonts w:ascii="Arial" w:hAnsi="Arial" w:cs="Arial"/>
          <w:sz w:val="22"/>
          <w:szCs w:val="22"/>
        </w:rPr>
        <w:t xml:space="preserve">artikel 25f lid 2 </w:t>
      </w:r>
      <w:proofErr w:type="spellStart"/>
      <w:r w:rsidR="00C92F29">
        <w:rPr>
          <w:rFonts w:ascii="Arial" w:hAnsi="Arial" w:cs="Arial"/>
          <w:sz w:val="22"/>
          <w:szCs w:val="22"/>
        </w:rPr>
        <w:t>Aw</w:t>
      </w:r>
      <w:proofErr w:type="spellEnd"/>
      <w:r w:rsidR="00C92F29">
        <w:rPr>
          <w:rFonts w:ascii="Arial" w:hAnsi="Arial" w:cs="Arial"/>
          <w:sz w:val="22"/>
          <w:szCs w:val="22"/>
        </w:rPr>
        <w:t>.</w:t>
      </w:r>
      <w:r w:rsidR="005F66B9">
        <w:rPr>
          <w:rFonts w:ascii="Arial" w:hAnsi="Arial" w:cs="Arial"/>
          <w:sz w:val="22"/>
          <w:szCs w:val="22"/>
        </w:rPr>
        <w:t xml:space="preserve"> </w:t>
      </w:r>
      <w:r w:rsidR="009D19AE">
        <w:rPr>
          <w:rFonts w:ascii="Arial" w:hAnsi="Arial" w:cs="Arial"/>
          <w:sz w:val="22"/>
          <w:szCs w:val="22"/>
        </w:rPr>
        <w:t>Nu d</w:t>
      </w:r>
      <w:r w:rsidR="009E418C">
        <w:rPr>
          <w:rFonts w:ascii="Arial" w:hAnsi="Arial" w:cs="Arial"/>
          <w:sz w:val="22"/>
          <w:szCs w:val="22"/>
        </w:rPr>
        <w:t>eze bepaling uit het auteurscontractenrecht terugwerkend kracht</w:t>
      </w:r>
      <w:r w:rsidR="006E3742">
        <w:rPr>
          <w:rFonts w:ascii="Arial" w:hAnsi="Arial" w:cs="Arial"/>
          <w:sz w:val="22"/>
          <w:szCs w:val="22"/>
        </w:rPr>
        <w:t xml:space="preserve"> </w:t>
      </w:r>
      <w:r w:rsidR="00227293">
        <w:rPr>
          <w:rFonts w:ascii="Arial" w:hAnsi="Arial" w:cs="Arial"/>
          <w:sz w:val="22"/>
          <w:szCs w:val="22"/>
        </w:rPr>
        <w:t>heeft,</w:t>
      </w:r>
      <w:r w:rsidR="006E3742">
        <w:rPr>
          <w:rFonts w:ascii="Arial" w:hAnsi="Arial" w:cs="Arial"/>
          <w:sz w:val="22"/>
          <w:szCs w:val="22"/>
        </w:rPr>
        <w:t xml:space="preserve"> valt ook de productieovereenkomst met </w:t>
      </w:r>
      <w:proofErr w:type="spellStart"/>
      <w:r w:rsidR="006E3742">
        <w:rPr>
          <w:rFonts w:ascii="Arial" w:hAnsi="Arial" w:cs="Arial"/>
          <w:sz w:val="22"/>
          <w:szCs w:val="22"/>
        </w:rPr>
        <w:t>Spinnin</w:t>
      </w:r>
      <w:proofErr w:type="spellEnd"/>
      <w:r w:rsidR="006E3742">
        <w:rPr>
          <w:rFonts w:ascii="Arial" w:hAnsi="Arial" w:cs="Arial"/>
          <w:sz w:val="22"/>
          <w:szCs w:val="22"/>
        </w:rPr>
        <w:t xml:space="preserve">’ Records </w:t>
      </w:r>
      <w:r w:rsidR="00227293">
        <w:rPr>
          <w:rFonts w:ascii="Arial" w:hAnsi="Arial" w:cs="Arial"/>
          <w:sz w:val="22"/>
          <w:szCs w:val="22"/>
        </w:rPr>
        <w:t xml:space="preserve">van vóór 1 juli 2015 onder het bereik van deze regeling. </w:t>
      </w:r>
      <w:proofErr w:type="spellStart"/>
      <w:r w:rsidR="009E418C">
        <w:rPr>
          <w:rFonts w:ascii="Arial" w:hAnsi="Arial" w:cs="Arial"/>
          <w:sz w:val="22"/>
          <w:szCs w:val="22"/>
        </w:rPr>
        <w:t>Garrix</w:t>
      </w:r>
      <w:proofErr w:type="spellEnd"/>
      <w:r w:rsidR="009E418C">
        <w:rPr>
          <w:rFonts w:ascii="Arial" w:hAnsi="Arial" w:cs="Arial"/>
          <w:sz w:val="22"/>
          <w:szCs w:val="22"/>
        </w:rPr>
        <w:t xml:space="preserve"> richt zijn pijlen onder </w:t>
      </w:r>
      <w:r w:rsidR="00227293">
        <w:rPr>
          <w:rFonts w:ascii="Arial" w:hAnsi="Arial" w:cs="Arial"/>
          <w:sz w:val="22"/>
          <w:szCs w:val="22"/>
        </w:rPr>
        <w:t xml:space="preserve">meer </w:t>
      </w:r>
      <w:r w:rsidR="009E418C">
        <w:rPr>
          <w:rFonts w:ascii="Arial" w:hAnsi="Arial" w:cs="Arial"/>
          <w:sz w:val="22"/>
          <w:szCs w:val="22"/>
        </w:rPr>
        <w:t xml:space="preserve">op de eenzijdige verlengingsopties van MAS Management en </w:t>
      </w:r>
      <w:proofErr w:type="spellStart"/>
      <w:r w:rsidR="009E418C">
        <w:rPr>
          <w:rFonts w:ascii="Arial" w:hAnsi="Arial" w:cs="Arial"/>
          <w:sz w:val="22"/>
          <w:szCs w:val="22"/>
        </w:rPr>
        <w:t>Spinnin</w:t>
      </w:r>
      <w:proofErr w:type="spellEnd"/>
      <w:r w:rsidR="009E418C">
        <w:rPr>
          <w:rFonts w:ascii="Arial" w:hAnsi="Arial" w:cs="Arial"/>
          <w:sz w:val="22"/>
          <w:szCs w:val="22"/>
        </w:rPr>
        <w:t xml:space="preserve">’ Records </w:t>
      </w:r>
      <w:r w:rsidR="00227293">
        <w:rPr>
          <w:rFonts w:ascii="Arial" w:hAnsi="Arial" w:cs="Arial"/>
          <w:sz w:val="22"/>
          <w:szCs w:val="22"/>
        </w:rPr>
        <w:t>in</w:t>
      </w:r>
      <w:r w:rsidR="009E418C">
        <w:rPr>
          <w:rFonts w:ascii="Arial" w:hAnsi="Arial" w:cs="Arial"/>
          <w:sz w:val="22"/>
          <w:szCs w:val="22"/>
        </w:rPr>
        <w:t xml:space="preserve"> de exclusieve management- en productieovereenkomsten. </w:t>
      </w:r>
    </w:p>
    <w:p w14:paraId="0E2EEB32" w14:textId="77777777" w:rsidR="00227293" w:rsidRDefault="00227293" w:rsidP="009E418C">
      <w:pPr>
        <w:spacing w:line="300" w:lineRule="auto"/>
        <w:jc w:val="both"/>
        <w:rPr>
          <w:rFonts w:ascii="Arial" w:hAnsi="Arial" w:cs="Arial"/>
          <w:sz w:val="22"/>
          <w:szCs w:val="22"/>
        </w:rPr>
      </w:pPr>
    </w:p>
    <w:p w14:paraId="252E7DF5" w14:textId="554D6713" w:rsidR="00FA2FE1" w:rsidRDefault="008110FC" w:rsidP="006F25CF">
      <w:pPr>
        <w:spacing w:line="300" w:lineRule="auto"/>
        <w:jc w:val="both"/>
        <w:rPr>
          <w:rFonts w:ascii="Arial" w:hAnsi="Arial" w:cs="Arial"/>
          <w:sz w:val="22"/>
          <w:szCs w:val="22"/>
        </w:rPr>
      </w:pPr>
      <w:r>
        <w:rPr>
          <w:rFonts w:ascii="Arial" w:hAnsi="Arial" w:cs="Arial"/>
          <w:sz w:val="22"/>
          <w:szCs w:val="22"/>
        </w:rPr>
        <w:t xml:space="preserve">De vraag is of </w:t>
      </w:r>
      <w:r w:rsidR="00F9005F">
        <w:rPr>
          <w:rFonts w:ascii="Arial" w:hAnsi="Arial" w:cs="Arial"/>
          <w:sz w:val="22"/>
          <w:szCs w:val="22"/>
        </w:rPr>
        <w:t>het auteurscontractenrecht</w:t>
      </w:r>
      <w:r w:rsidR="00C26DCF">
        <w:rPr>
          <w:rFonts w:ascii="Arial" w:hAnsi="Arial" w:cs="Arial"/>
          <w:sz w:val="22"/>
          <w:szCs w:val="22"/>
        </w:rPr>
        <w:t xml:space="preserve"> </w:t>
      </w:r>
      <w:r>
        <w:rPr>
          <w:rFonts w:ascii="Arial" w:hAnsi="Arial" w:cs="Arial"/>
          <w:sz w:val="22"/>
          <w:szCs w:val="22"/>
        </w:rPr>
        <w:t xml:space="preserve">ook </w:t>
      </w:r>
      <w:r w:rsidR="00C26DCF">
        <w:rPr>
          <w:rFonts w:ascii="Arial" w:hAnsi="Arial" w:cs="Arial"/>
          <w:sz w:val="22"/>
          <w:szCs w:val="22"/>
        </w:rPr>
        <w:t>van toepassing</w:t>
      </w:r>
      <w:r>
        <w:rPr>
          <w:rFonts w:ascii="Arial" w:hAnsi="Arial" w:cs="Arial"/>
          <w:sz w:val="22"/>
          <w:szCs w:val="22"/>
        </w:rPr>
        <w:t xml:space="preserve"> kan zijn op </w:t>
      </w:r>
      <w:r w:rsidR="00940FEB">
        <w:rPr>
          <w:rFonts w:ascii="Arial" w:hAnsi="Arial" w:cs="Arial"/>
          <w:sz w:val="22"/>
          <w:szCs w:val="22"/>
        </w:rPr>
        <w:t xml:space="preserve">de inhoud van </w:t>
      </w:r>
      <w:r>
        <w:rPr>
          <w:rFonts w:ascii="Arial" w:hAnsi="Arial" w:cs="Arial"/>
          <w:sz w:val="22"/>
          <w:szCs w:val="22"/>
        </w:rPr>
        <w:t>de managementovereenkomst die</w:t>
      </w:r>
      <w:r w:rsidR="00940FEB">
        <w:rPr>
          <w:rFonts w:ascii="Arial" w:hAnsi="Arial" w:cs="Arial"/>
          <w:sz w:val="22"/>
          <w:szCs w:val="22"/>
        </w:rPr>
        <w:t xml:space="preserve"> materieel </w:t>
      </w:r>
      <w:r>
        <w:rPr>
          <w:rFonts w:ascii="Arial" w:hAnsi="Arial" w:cs="Arial"/>
          <w:sz w:val="22"/>
          <w:szCs w:val="22"/>
        </w:rPr>
        <w:t xml:space="preserve">niet kwalificeert </w:t>
      </w:r>
      <w:r w:rsidR="006A3A46">
        <w:rPr>
          <w:rFonts w:ascii="Arial" w:hAnsi="Arial" w:cs="Arial"/>
          <w:sz w:val="22"/>
          <w:szCs w:val="22"/>
        </w:rPr>
        <w:t>als</w:t>
      </w:r>
      <w:r>
        <w:rPr>
          <w:rFonts w:ascii="Arial" w:hAnsi="Arial" w:cs="Arial"/>
          <w:sz w:val="22"/>
          <w:szCs w:val="22"/>
        </w:rPr>
        <w:t xml:space="preserve"> exploitatieovereenkomst. Het Hof beantwoordt d</w:t>
      </w:r>
      <w:r w:rsidR="00940FEB">
        <w:rPr>
          <w:rFonts w:ascii="Arial" w:hAnsi="Arial" w:cs="Arial"/>
          <w:sz w:val="22"/>
          <w:szCs w:val="22"/>
        </w:rPr>
        <w:t>eze</w:t>
      </w:r>
      <w:r>
        <w:rPr>
          <w:rFonts w:ascii="Arial" w:hAnsi="Arial" w:cs="Arial"/>
          <w:sz w:val="22"/>
          <w:szCs w:val="22"/>
        </w:rPr>
        <w:t xml:space="preserve"> vraag bevestigend.</w:t>
      </w:r>
      <w:r w:rsidR="009E5DF3">
        <w:rPr>
          <w:rFonts w:ascii="Arial" w:hAnsi="Arial" w:cs="Arial"/>
          <w:sz w:val="22"/>
          <w:szCs w:val="22"/>
        </w:rPr>
        <w:t xml:space="preserve"> De productie- en managementovereenkomsten </w:t>
      </w:r>
      <w:r w:rsidR="00834948">
        <w:rPr>
          <w:rFonts w:ascii="Arial" w:hAnsi="Arial" w:cs="Arial"/>
          <w:sz w:val="22"/>
          <w:szCs w:val="22"/>
        </w:rPr>
        <w:t xml:space="preserve">van </w:t>
      </w:r>
      <w:proofErr w:type="spellStart"/>
      <w:r w:rsidR="00834948">
        <w:rPr>
          <w:rFonts w:ascii="Arial" w:hAnsi="Arial" w:cs="Arial"/>
          <w:sz w:val="22"/>
          <w:szCs w:val="22"/>
        </w:rPr>
        <w:t>Garrix</w:t>
      </w:r>
      <w:proofErr w:type="spellEnd"/>
      <w:r w:rsidR="00834948">
        <w:rPr>
          <w:rFonts w:ascii="Arial" w:hAnsi="Arial" w:cs="Arial"/>
          <w:sz w:val="22"/>
          <w:szCs w:val="22"/>
        </w:rPr>
        <w:t xml:space="preserve"> </w:t>
      </w:r>
      <w:r w:rsidR="009E5DF3">
        <w:rPr>
          <w:rFonts w:ascii="Arial" w:hAnsi="Arial" w:cs="Arial"/>
          <w:sz w:val="22"/>
          <w:szCs w:val="22"/>
        </w:rPr>
        <w:t xml:space="preserve">zijn </w:t>
      </w:r>
      <w:r w:rsidR="006A3A46">
        <w:rPr>
          <w:rFonts w:ascii="Arial" w:hAnsi="Arial" w:cs="Arial"/>
          <w:sz w:val="22"/>
          <w:szCs w:val="22"/>
        </w:rPr>
        <w:t xml:space="preserve">in dit geval </w:t>
      </w:r>
      <w:r w:rsidR="009E5DF3">
        <w:rPr>
          <w:rFonts w:ascii="Arial" w:hAnsi="Arial" w:cs="Arial"/>
          <w:sz w:val="22"/>
          <w:szCs w:val="22"/>
        </w:rPr>
        <w:t xml:space="preserve">zodanig met elkaar verbonden dat de bescherming tegen onredelijk bezwarende bedingen van artikel 25f </w:t>
      </w:r>
      <w:proofErr w:type="spellStart"/>
      <w:r w:rsidR="009E5DF3">
        <w:rPr>
          <w:rFonts w:ascii="Arial" w:hAnsi="Arial" w:cs="Arial"/>
          <w:sz w:val="22"/>
          <w:szCs w:val="22"/>
        </w:rPr>
        <w:t>Aw</w:t>
      </w:r>
      <w:proofErr w:type="spellEnd"/>
      <w:r w:rsidR="009E5DF3">
        <w:rPr>
          <w:rFonts w:ascii="Arial" w:hAnsi="Arial" w:cs="Arial"/>
          <w:sz w:val="22"/>
          <w:szCs w:val="22"/>
        </w:rPr>
        <w:t xml:space="preserve"> zich hier mede uitstrekt tot </w:t>
      </w:r>
      <w:r w:rsidR="00940FEB">
        <w:rPr>
          <w:rFonts w:ascii="Arial" w:hAnsi="Arial" w:cs="Arial"/>
          <w:sz w:val="22"/>
          <w:szCs w:val="22"/>
        </w:rPr>
        <w:t>de inhoud</w:t>
      </w:r>
      <w:r w:rsidR="009E5DF3">
        <w:rPr>
          <w:rFonts w:ascii="Arial" w:hAnsi="Arial" w:cs="Arial"/>
          <w:sz w:val="22"/>
          <w:szCs w:val="22"/>
        </w:rPr>
        <w:t xml:space="preserve"> </w:t>
      </w:r>
      <w:r w:rsidR="00940FEB">
        <w:rPr>
          <w:rFonts w:ascii="Arial" w:hAnsi="Arial" w:cs="Arial"/>
          <w:sz w:val="22"/>
          <w:szCs w:val="22"/>
        </w:rPr>
        <w:t>va</w:t>
      </w:r>
      <w:r w:rsidR="009E5DF3">
        <w:rPr>
          <w:rFonts w:ascii="Arial" w:hAnsi="Arial" w:cs="Arial"/>
          <w:sz w:val="22"/>
          <w:szCs w:val="22"/>
        </w:rPr>
        <w:t xml:space="preserve">n de managementovereenkomst. </w:t>
      </w:r>
      <w:r w:rsidR="00940FEB">
        <w:rPr>
          <w:rFonts w:ascii="Arial" w:hAnsi="Arial" w:cs="Arial"/>
          <w:sz w:val="22"/>
          <w:szCs w:val="22"/>
        </w:rPr>
        <w:t xml:space="preserve">Beide overeenkomsten staan volgens </w:t>
      </w:r>
      <w:r w:rsidR="009E5DF3">
        <w:rPr>
          <w:rFonts w:ascii="Arial" w:hAnsi="Arial" w:cs="Arial"/>
          <w:sz w:val="22"/>
          <w:szCs w:val="22"/>
        </w:rPr>
        <w:t>het Hof</w:t>
      </w:r>
      <w:r w:rsidR="00940FEB">
        <w:rPr>
          <w:rFonts w:ascii="Arial" w:hAnsi="Arial" w:cs="Arial"/>
          <w:sz w:val="22"/>
          <w:szCs w:val="22"/>
        </w:rPr>
        <w:t xml:space="preserve"> in het teken van</w:t>
      </w:r>
      <w:r w:rsidR="009E5DF3">
        <w:rPr>
          <w:rFonts w:ascii="Arial" w:hAnsi="Arial" w:cs="Arial"/>
          <w:sz w:val="22"/>
          <w:szCs w:val="22"/>
        </w:rPr>
        <w:t xml:space="preserve"> het stimuleren van de verkoop en exploitatie van muziek</w:t>
      </w:r>
      <w:r w:rsidR="00CA0D09">
        <w:rPr>
          <w:rFonts w:ascii="Arial" w:hAnsi="Arial" w:cs="Arial"/>
          <w:sz w:val="22"/>
          <w:szCs w:val="22"/>
        </w:rPr>
        <w:t xml:space="preserve"> en het vergroten van de bekendheid van de artiest om diezelfde</w:t>
      </w:r>
      <w:r w:rsidR="00B86326">
        <w:rPr>
          <w:rFonts w:ascii="Arial" w:hAnsi="Arial" w:cs="Arial"/>
          <w:sz w:val="22"/>
          <w:szCs w:val="22"/>
        </w:rPr>
        <w:t xml:space="preserve"> </w:t>
      </w:r>
      <w:r w:rsidR="00CA0D09">
        <w:rPr>
          <w:rFonts w:ascii="Arial" w:hAnsi="Arial" w:cs="Arial"/>
          <w:sz w:val="22"/>
          <w:szCs w:val="22"/>
        </w:rPr>
        <w:t xml:space="preserve">muziek te </w:t>
      </w:r>
      <w:r w:rsidR="004F1803">
        <w:rPr>
          <w:rFonts w:ascii="Arial" w:hAnsi="Arial" w:cs="Arial"/>
          <w:sz w:val="22"/>
          <w:szCs w:val="22"/>
        </w:rPr>
        <w:t>promoten</w:t>
      </w:r>
      <w:r w:rsidR="00CA0D09">
        <w:rPr>
          <w:rFonts w:ascii="Arial" w:hAnsi="Arial" w:cs="Arial"/>
          <w:sz w:val="22"/>
          <w:szCs w:val="22"/>
        </w:rPr>
        <w:t>.</w:t>
      </w:r>
      <w:r w:rsidR="004F1803">
        <w:rPr>
          <w:rFonts w:ascii="Arial" w:hAnsi="Arial" w:cs="Arial"/>
          <w:sz w:val="22"/>
          <w:szCs w:val="22"/>
        </w:rPr>
        <w:t xml:space="preserve"> </w:t>
      </w:r>
      <w:r w:rsidR="00940FEB">
        <w:rPr>
          <w:rFonts w:ascii="Arial" w:hAnsi="Arial" w:cs="Arial"/>
          <w:sz w:val="22"/>
          <w:szCs w:val="22"/>
        </w:rPr>
        <w:t xml:space="preserve">Daarnaast zijn </w:t>
      </w:r>
      <w:r w:rsidR="00CA0D09">
        <w:rPr>
          <w:rFonts w:ascii="Arial" w:hAnsi="Arial" w:cs="Arial"/>
          <w:sz w:val="22"/>
          <w:szCs w:val="22"/>
        </w:rPr>
        <w:t xml:space="preserve">beide overeenkomsten </w:t>
      </w:r>
      <w:proofErr w:type="spellStart"/>
      <w:r w:rsidR="00CA0D09">
        <w:rPr>
          <w:rFonts w:ascii="Arial" w:hAnsi="Arial" w:cs="Arial"/>
          <w:sz w:val="22"/>
          <w:szCs w:val="22"/>
        </w:rPr>
        <w:t>Garrix</w:t>
      </w:r>
      <w:proofErr w:type="spellEnd"/>
      <w:r w:rsidR="00CA0D09">
        <w:rPr>
          <w:rFonts w:ascii="Arial" w:hAnsi="Arial" w:cs="Arial"/>
          <w:sz w:val="22"/>
          <w:szCs w:val="22"/>
        </w:rPr>
        <w:t xml:space="preserve"> </w:t>
      </w:r>
      <w:r w:rsidR="00CA0D09">
        <w:rPr>
          <w:rFonts w:ascii="Arial" w:hAnsi="Arial" w:cs="Arial"/>
          <w:sz w:val="22"/>
          <w:szCs w:val="22"/>
        </w:rPr>
        <w:lastRenderedPageBreak/>
        <w:t xml:space="preserve">als één geheel aangeboden, </w:t>
      </w:r>
      <w:r w:rsidR="004F1803">
        <w:rPr>
          <w:rFonts w:ascii="Arial" w:hAnsi="Arial" w:cs="Arial"/>
          <w:sz w:val="22"/>
          <w:szCs w:val="22"/>
        </w:rPr>
        <w:t xml:space="preserve">op hetzelfde moment </w:t>
      </w:r>
      <w:r w:rsidR="00CA0D09">
        <w:rPr>
          <w:rFonts w:ascii="Arial" w:hAnsi="Arial" w:cs="Arial"/>
          <w:sz w:val="22"/>
          <w:szCs w:val="22"/>
        </w:rPr>
        <w:t xml:space="preserve">gesloten voor gelijke </w:t>
      </w:r>
      <w:r w:rsidR="004F1803">
        <w:rPr>
          <w:rFonts w:ascii="Arial" w:hAnsi="Arial" w:cs="Arial"/>
          <w:sz w:val="22"/>
          <w:szCs w:val="22"/>
        </w:rPr>
        <w:t xml:space="preserve">duur en met </w:t>
      </w:r>
      <w:r w:rsidR="00CA0D09">
        <w:rPr>
          <w:rFonts w:ascii="Arial" w:hAnsi="Arial" w:cs="Arial"/>
          <w:sz w:val="22"/>
          <w:szCs w:val="22"/>
        </w:rPr>
        <w:t xml:space="preserve">gelijke verlengingsmogelijkheden. </w:t>
      </w:r>
      <w:r w:rsidR="00940FEB">
        <w:rPr>
          <w:rFonts w:ascii="Arial" w:hAnsi="Arial" w:cs="Arial"/>
          <w:sz w:val="22"/>
          <w:szCs w:val="22"/>
        </w:rPr>
        <w:t xml:space="preserve">Ook </w:t>
      </w:r>
      <w:r w:rsidR="00CA0D09">
        <w:rPr>
          <w:rFonts w:ascii="Arial" w:hAnsi="Arial" w:cs="Arial"/>
          <w:sz w:val="22"/>
          <w:szCs w:val="22"/>
        </w:rPr>
        <w:t xml:space="preserve">speelt mee dat beide overeenkomsten </w:t>
      </w:r>
      <w:r w:rsidR="00893A5C">
        <w:rPr>
          <w:rFonts w:ascii="Arial" w:hAnsi="Arial" w:cs="Arial"/>
          <w:sz w:val="22"/>
          <w:szCs w:val="22"/>
        </w:rPr>
        <w:t xml:space="preserve">feitelijk </w:t>
      </w:r>
      <w:r w:rsidR="00CA0D09">
        <w:rPr>
          <w:rFonts w:ascii="Arial" w:hAnsi="Arial" w:cs="Arial"/>
          <w:sz w:val="22"/>
          <w:szCs w:val="22"/>
        </w:rPr>
        <w:t>door een en hetzelfde team zijn uitgevoerd.</w:t>
      </w:r>
      <w:r w:rsidR="00B64A87">
        <w:rPr>
          <w:rFonts w:ascii="Arial" w:hAnsi="Arial" w:cs="Arial"/>
          <w:sz w:val="22"/>
          <w:szCs w:val="22"/>
        </w:rPr>
        <w:t xml:space="preserve"> </w:t>
      </w:r>
      <w:r w:rsidR="00940FEB">
        <w:rPr>
          <w:rFonts w:ascii="Arial" w:hAnsi="Arial" w:cs="Arial"/>
          <w:sz w:val="22"/>
          <w:szCs w:val="22"/>
        </w:rPr>
        <w:t>Het resultaat is dat het auteurs</w:t>
      </w:r>
      <w:r w:rsidR="004F1803">
        <w:rPr>
          <w:rFonts w:ascii="Arial" w:hAnsi="Arial" w:cs="Arial"/>
          <w:sz w:val="22"/>
          <w:szCs w:val="22"/>
        </w:rPr>
        <w:t xml:space="preserve">contractenrecht op basis van </w:t>
      </w:r>
      <w:r w:rsidR="00552560">
        <w:rPr>
          <w:rFonts w:ascii="Arial" w:hAnsi="Arial" w:cs="Arial"/>
          <w:sz w:val="22"/>
          <w:szCs w:val="22"/>
        </w:rPr>
        <w:t xml:space="preserve">een </w:t>
      </w:r>
      <w:r w:rsidR="004F1803">
        <w:rPr>
          <w:rFonts w:ascii="Arial" w:hAnsi="Arial" w:cs="Arial"/>
          <w:sz w:val="22"/>
          <w:szCs w:val="22"/>
        </w:rPr>
        <w:t xml:space="preserve">nauwe samenhang </w:t>
      </w:r>
      <w:r w:rsidR="00552560">
        <w:rPr>
          <w:rFonts w:ascii="Arial" w:hAnsi="Arial" w:cs="Arial"/>
          <w:sz w:val="22"/>
          <w:szCs w:val="22"/>
        </w:rPr>
        <w:t xml:space="preserve">met </w:t>
      </w:r>
      <w:r w:rsidR="004F1803">
        <w:rPr>
          <w:rFonts w:ascii="Arial" w:hAnsi="Arial" w:cs="Arial"/>
          <w:sz w:val="22"/>
          <w:szCs w:val="22"/>
        </w:rPr>
        <w:t>exploitatieovereenkomst</w:t>
      </w:r>
      <w:r w:rsidR="00552560">
        <w:rPr>
          <w:rFonts w:ascii="Arial" w:hAnsi="Arial" w:cs="Arial"/>
          <w:sz w:val="22"/>
          <w:szCs w:val="22"/>
        </w:rPr>
        <w:t>en</w:t>
      </w:r>
      <w:r w:rsidR="00940FEB">
        <w:rPr>
          <w:rFonts w:ascii="Arial" w:hAnsi="Arial" w:cs="Arial"/>
          <w:sz w:val="22"/>
          <w:szCs w:val="22"/>
        </w:rPr>
        <w:t xml:space="preserve"> </w:t>
      </w:r>
      <w:r w:rsidR="00552560">
        <w:rPr>
          <w:rFonts w:ascii="Arial" w:hAnsi="Arial" w:cs="Arial"/>
          <w:sz w:val="22"/>
          <w:szCs w:val="22"/>
        </w:rPr>
        <w:t>in de praktijk kan</w:t>
      </w:r>
      <w:r w:rsidR="00940FEB">
        <w:rPr>
          <w:rFonts w:ascii="Arial" w:hAnsi="Arial" w:cs="Arial"/>
          <w:sz w:val="22"/>
          <w:szCs w:val="22"/>
        </w:rPr>
        <w:t xml:space="preserve"> doorwerken in niet-exploitatieovereenkomsten.</w:t>
      </w:r>
      <w:r w:rsidR="005268FA">
        <w:rPr>
          <w:rFonts w:ascii="Arial" w:hAnsi="Arial" w:cs="Arial"/>
          <w:sz w:val="22"/>
          <w:szCs w:val="22"/>
        </w:rPr>
        <w:t xml:space="preserve"> </w:t>
      </w:r>
      <w:r w:rsidR="006A3A46">
        <w:rPr>
          <w:rFonts w:ascii="Arial" w:hAnsi="Arial" w:cs="Arial"/>
          <w:sz w:val="22"/>
          <w:szCs w:val="22"/>
        </w:rPr>
        <w:t>O</w:t>
      </w:r>
      <w:r w:rsidR="00971E1F">
        <w:rPr>
          <w:rFonts w:ascii="Arial" w:hAnsi="Arial" w:cs="Arial"/>
          <w:sz w:val="22"/>
          <w:szCs w:val="22"/>
        </w:rPr>
        <w:t>p grond</w:t>
      </w:r>
      <w:r w:rsidR="006A3A46">
        <w:rPr>
          <w:rFonts w:ascii="Arial" w:hAnsi="Arial" w:cs="Arial"/>
          <w:sz w:val="22"/>
          <w:szCs w:val="22"/>
        </w:rPr>
        <w:t xml:space="preserve"> </w:t>
      </w:r>
      <w:r w:rsidR="00971E1F">
        <w:rPr>
          <w:rFonts w:ascii="Arial" w:hAnsi="Arial" w:cs="Arial"/>
          <w:sz w:val="22"/>
          <w:szCs w:val="22"/>
        </w:rPr>
        <w:t xml:space="preserve">van </w:t>
      </w:r>
      <w:r w:rsidR="00552560">
        <w:rPr>
          <w:rFonts w:ascii="Arial" w:hAnsi="Arial" w:cs="Arial"/>
          <w:sz w:val="22"/>
          <w:szCs w:val="22"/>
        </w:rPr>
        <w:t xml:space="preserve">artikel 25f </w:t>
      </w:r>
      <w:proofErr w:type="spellStart"/>
      <w:r w:rsidR="00552560">
        <w:rPr>
          <w:rFonts w:ascii="Arial" w:hAnsi="Arial" w:cs="Arial"/>
          <w:sz w:val="22"/>
          <w:szCs w:val="22"/>
        </w:rPr>
        <w:t>Aw</w:t>
      </w:r>
      <w:proofErr w:type="spellEnd"/>
      <w:r w:rsidR="00552560">
        <w:rPr>
          <w:rFonts w:ascii="Arial" w:hAnsi="Arial" w:cs="Arial"/>
          <w:sz w:val="22"/>
          <w:szCs w:val="22"/>
        </w:rPr>
        <w:t xml:space="preserve"> zelfs met terugwerkende kracht. </w:t>
      </w:r>
      <w:r w:rsidR="00737ED3">
        <w:rPr>
          <w:rFonts w:ascii="Arial" w:hAnsi="Arial" w:cs="Arial"/>
          <w:sz w:val="22"/>
          <w:szCs w:val="22"/>
        </w:rPr>
        <w:t xml:space="preserve">Het oordeel van het Hof </w:t>
      </w:r>
      <w:r w:rsidR="006A3A46">
        <w:rPr>
          <w:rFonts w:ascii="Arial" w:hAnsi="Arial" w:cs="Arial"/>
          <w:sz w:val="22"/>
          <w:szCs w:val="22"/>
        </w:rPr>
        <w:t xml:space="preserve">kan </w:t>
      </w:r>
      <w:r w:rsidR="00737ED3">
        <w:rPr>
          <w:rFonts w:ascii="Arial" w:hAnsi="Arial" w:cs="Arial"/>
          <w:sz w:val="22"/>
          <w:szCs w:val="22"/>
        </w:rPr>
        <w:t xml:space="preserve">op dit punt precedentwerking hebben. </w:t>
      </w:r>
      <w:r w:rsidR="001A4FE6">
        <w:rPr>
          <w:rFonts w:ascii="Arial" w:hAnsi="Arial" w:cs="Arial"/>
          <w:sz w:val="22"/>
          <w:szCs w:val="22"/>
        </w:rPr>
        <w:t>A</w:t>
      </w:r>
      <w:r w:rsidR="00737ED3">
        <w:rPr>
          <w:rFonts w:ascii="Arial" w:hAnsi="Arial" w:cs="Arial"/>
          <w:sz w:val="22"/>
          <w:szCs w:val="22"/>
        </w:rPr>
        <w:t xml:space="preserve">rtikel 25b </w:t>
      </w:r>
      <w:proofErr w:type="spellStart"/>
      <w:r w:rsidR="00737ED3">
        <w:rPr>
          <w:rFonts w:ascii="Arial" w:hAnsi="Arial" w:cs="Arial"/>
          <w:sz w:val="22"/>
          <w:szCs w:val="22"/>
        </w:rPr>
        <w:t>Aw</w:t>
      </w:r>
      <w:proofErr w:type="spellEnd"/>
      <w:r w:rsidR="00A640CE">
        <w:rPr>
          <w:rFonts w:ascii="Arial" w:hAnsi="Arial" w:cs="Arial"/>
          <w:sz w:val="22"/>
          <w:szCs w:val="22"/>
        </w:rPr>
        <w:t xml:space="preserve"> lid 1</w:t>
      </w:r>
      <w:r w:rsidR="00737ED3">
        <w:rPr>
          <w:rFonts w:ascii="Arial" w:hAnsi="Arial" w:cs="Arial"/>
          <w:sz w:val="22"/>
          <w:szCs w:val="22"/>
        </w:rPr>
        <w:t xml:space="preserve"> </w:t>
      </w:r>
      <w:r w:rsidR="001A4FE6">
        <w:rPr>
          <w:rFonts w:ascii="Arial" w:hAnsi="Arial" w:cs="Arial"/>
          <w:sz w:val="22"/>
          <w:szCs w:val="22"/>
        </w:rPr>
        <w:t xml:space="preserve">regelt </w:t>
      </w:r>
      <w:r w:rsidR="00737ED3">
        <w:rPr>
          <w:rFonts w:ascii="Arial" w:hAnsi="Arial" w:cs="Arial"/>
          <w:sz w:val="22"/>
          <w:szCs w:val="22"/>
        </w:rPr>
        <w:t xml:space="preserve">dat het </w:t>
      </w:r>
      <w:r w:rsidR="00355FAE">
        <w:rPr>
          <w:rFonts w:ascii="Arial" w:hAnsi="Arial" w:cs="Arial"/>
          <w:sz w:val="22"/>
          <w:szCs w:val="22"/>
        </w:rPr>
        <w:t>bijzonder</w:t>
      </w:r>
      <w:r w:rsidR="008825E8">
        <w:rPr>
          <w:rStyle w:val="Voetnootmarkering"/>
          <w:rFonts w:ascii="Arial" w:hAnsi="Arial" w:cs="Arial"/>
          <w:sz w:val="22"/>
          <w:szCs w:val="22"/>
        </w:rPr>
        <w:footnoteReference w:id="10"/>
      </w:r>
      <w:r w:rsidR="00355FAE">
        <w:rPr>
          <w:rFonts w:ascii="Arial" w:hAnsi="Arial" w:cs="Arial"/>
          <w:sz w:val="22"/>
          <w:szCs w:val="22"/>
        </w:rPr>
        <w:t xml:space="preserve"> </w:t>
      </w:r>
      <w:r w:rsidR="00737ED3">
        <w:rPr>
          <w:rFonts w:ascii="Arial" w:hAnsi="Arial" w:cs="Arial"/>
          <w:sz w:val="22"/>
          <w:szCs w:val="22"/>
        </w:rPr>
        <w:t xml:space="preserve">dwingend auteurscontractenrecht van </w:t>
      </w:r>
      <w:r w:rsidR="00A94CE3">
        <w:rPr>
          <w:rFonts w:ascii="Arial" w:hAnsi="Arial" w:cs="Arial"/>
          <w:sz w:val="22"/>
          <w:szCs w:val="22"/>
        </w:rPr>
        <w:t>h</w:t>
      </w:r>
      <w:r w:rsidR="00737ED3">
        <w:rPr>
          <w:rFonts w:ascii="Arial" w:hAnsi="Arial" w:cs="Arial"/>
          <w:sz w:val="22"/>
          <w:szCs w:val="22"/>
        </w:rPr>
        <w:t xml:space="preserve">oofdstuk IA </w:t>
      </w:r>
      <w:proofErr w:type="spellStart"/>
      <w:r w:rsidR="00737ED3">
        <w:rPr>
          <w:rFonts w:ascii="Arial" w:hAnsi="Arial" w:cs="Arial"/>
          <w:sz w:val="22"/>
          <w:szCs w:val="22"/>
        </w:rPr>
        <w:t>Aw</w:t>
      </w:r>
      <w:proofErr w:type="spellEnd"/>
      <w:r w:rsidR="00737ED3">
        <w:rPr>
          <w:rFonts w:ascii="Arial" w:hAnsi="Arial" w:cs="Arial"/>
          <w:sz w:val="22"/>
          <w:szCs w:val="22"/>
        </w:rPr>
        <w:t xml:space="preserve"> uitsluitend van toepassing is op exploitatieovereenkomsten</w:t>
      </w:r>
      <w:r w:rsidR="00EA5BCB">
        <w:rPr>
          <w:rFonts w:ascii="Arial" w:hAnsi="Arial" w:cs="Arial"/>
          <w:sz w:val="22"/>
          <w:szCs w:val="22"/>
        </w:rPr>
        <w:t xml:space="preserve"> tussen makers en exploitanten</w:t>
      </w:r>
      <w:r w:rsidR="00737ED3">
        <w:rPr>
          <w:rFonts w:ascii="Arial" w:hAnsi="Arial" w:cs="Arial"/>
          <w:sz w:val="22"/>
          <w:szCs w:val="22"/>
        </w:rPr>
        <w:t xml:space="preserve"> die</w:t>
      </w:r>
      <w:r w:rsidR="00EA5BCB">
        <w:rPr>
          <w:rFonts w:ascii="Arial" w:hAnsi="Arial" w:cs="Arial"/>
          <w:sz w:val="22"/>
          <w:szCs w:val="22"/>
        </w:rPr>
        <w:t xml:space="preserve"> de </w:t>
      </w:r>
      <w:r w:rsidR="00737ED3">
        <w:rPr>
          <w:rFonts w:ascii="Arial" w:hAnsi="Arial" w:cs="Arial"/>
          <w:sz w:val="22"/>
          <w:szCs w:val="22"/>
        </w:rPr>
        <w:t>verlening van exploitatiebevoegdheden tot hoofddoel hebben</w:t>
      </w:r>
      <w:r w:rsidR="00930623">
        <w:rPr>
          <w:rFonts w:ascii="Arial" w:hAnsi="Arial" w:cs="Arial"/>
          <w:sz w:val="22"/>
          <w:szCs w:val="22"/>
        </w:rPr>
        <w:t>.</w:t>
      </w:r>
      <w:r w:rsidR="00A94CE3">
        <w:rPr>
          <w:rStyle w:val="Voetnootmarkering"/>
          <w:rFonts w:ascii="Arial" w:hAnsi="Arial" w:cs="Arial"/>
          <w:sz w:val="22"/>
          <w:szCs w:val="22"/>
        </w:rPr>
        <w:footnoteReference w:id="11"/>
      </w:r>
      <w:r w:rsidR="00A640CE">
        <w:rPr>
          <w:rFonts w:ascii="Arial" w:hAnsi="Arial" w:cs="Arial"/>
          <w:sz w:val="22"/>
          <w:szCs w:val="22"/>
        </w:rPr>
        <w:t xml:space="preserve"> Artikel 25f </w:t>
      </w:r>
      <w:proofErr w:type="spellStart"/>
      <w:r w:rsidR="00A640CE">
        <w:rPr>
          <w:rFonts w:ascii="Arial" w:hAnsi="Arial" w:cs="Arial"/>
          <w:sz w:val="22"/>
          <w:szCs w:val="22"/>
        </w:rPr>
        <w:t>Aw</w:t>
      </w:r>
      <w:proofErr w:type="spellEnd"/>
      <w:r w:rsidR="00A640CE">
        <w:rPr>
          <w:rFonts w:ascii="Arial" w:hAnsi="Arial" w:cs="Arial"/>
          <w:sz w:val="22"/>
          <w:szCs w:val="22"/>
        </w:rPr>
        <w:t xml:space="preserve"> </w:t>
      </w:r>
      <w:r w:rsidR="003F318B">
        <w:rPr>
          <w:rFonts w:ascii="Arial" w:hAnsi="Arial" w:cs="Arial"/>
          <w:sz w:val="22"/>
          <w:szCs w:val="22"/>
        </w:rPr>
        <w:t xml:space="preserve">is </w:t>
      </w:r>
      <w:r w:rsidR="00A640CE">
        <w:rPr>
          <w:rFonts w:ascii="Arial" w:hAnsi="Arial" w:cs="Arial"/>
          <w:sz w:val="22"/>
          <w:szCs w:val="22"/>
        </w:rPr>
        <w:t xml:space="preserve">op grond van artikel 25b lid 2 </w:t>
      </w:r>
      <w:proofErr w:type="spellStart"/>
      <w:r w:rsidR="00A640CE">
        <w:rPr>
          <w:rFonts w:ascii="Arial" w:hAnsi="Arial" w:cs="Arial"/>
          <w:sz w:val="22"/>
          <w:szCs w:val="22"/>
        </w:rPr>
        <w:t>Aw</w:t>
      </w:r>
      <w:proofErr w:type="spellEnd"/>
      <w:r w:rsidR="00A640CE">
        <w:rPr>
          <w:rFonts w:ascii="Arial" w:hAnsi="Arial" w:cs="Arial"/>
          <w:sz w:val="22"/>
          <w:szCs w:val="22"/>
        </w:rPr>
        <w:t xml:space="preserve"> </w:t>
      </w:r>
      <w:r w:rsidR="003F318B">
        <w:rPr>
          <w:rFonts w:ascii="Arial" w:hAnsi="Arial" w:cs="Arial"/>
          <w:sz w:val="22"/>
          <w:szCs w:val="22"/>
        </w:rPr>
        <w:t xml:space="preserve">van </w:t>
      </w:r>
      <w:r w:rsidR="00A640CE">
        <w:rPr>
          <w:rFonts w:ascii="Arial" w:hAnsi="Arial" w:cs="Arial"/>
          <w:sz w:val="22"/>
          <w:szCs w:val="22"/>
        </w:rPr>
        <w:t>toepassing</w:t>
      </w:r>
      <w:r w:rsidR="003F318B">
        <w:rPr>
          <w:rFonts w:ascii="Arial" w:hAnsi="Arial" w:cs="Arial"/>
          <w:sz w:val="22"/>
          <w:szCs w:val="22"/>
        </w:rPr>
        <w:t xml:space="preserve"> op </w:t>
      </w:r>
      <w:r w:rsidR="00A640CE">
        <w:rPr>
          <w:rFonts w:ascii="Arial" w:hAnsi="Arial" w:cs="Arial"/>
          <w:sz w:val="22"/>
          <w:szCs w:val="22"/>
        </w:rPr>
        <w:t>overeenkomsten waarbij sprake is van overdracht van auteursrecht</w:t>
      </w:r>
      <w:r w:rsidR="002120FA">
        <w:rPr>
          <w:rFonts w:ascii="Arial" w:hAnsi="Arial" w:cs="Arial"/>
          <w:sz w:val="22"/>
          <w:szCs w:val="22"/>
        </w:rPr>
        <w:t>en</w:t>
      </w:r>
      <w:r w:rsidR="00A640CE">
        <w:rPr>
          <w:rFonts w:ascii="Arial" w:hAnsi="Arial" w:cs="Arial"/>
          <w:sz w:val="22"/>
          <w:szCs w:val="22"/>
        </w:rPr>
        <w:t xml:space="preserve"> of verlening van een exclusieve licentie</w:t>
      </w:r>
      <w:r w:rsidR="00930623">
        <w:rPr>
          <w:rFonts w:ascii="Arial" w:hAnsi="Arial" w:cs="Arial"/>
          <w:sz w:val="22"/>
          <w:szCs w:val="22"/>
        </w:rPr>
        <w:t>.</w:t>
      </w:r>
      <w:r w:rsidR="004B1C01">
        <w:rPr>
          <w:rStyle w:val="Voetnootmarkering"/>
          <w:rFonts w:ascii="Arial" w:hAnsi="Arial" w:cs="Arial"/>
          <w:sz w:val="22"/>
          <w:szCs w:val="22"/>
        </w:rPr>
        <w:footnoteReference w:id="12"/>
      </w:r>
      <w:r w:rsidR="00A640CE">
        <w:rPr>
          <w:rFonts w:ascii="Arial" w:hAnsi="Arial" w:cs="Arial"/>
          <w:sz w:val="22"/>
          <w:szCs w:val="22"/>
        </w:rPr>
        <w:t xml:space="preserve"> De managementovereenkomst</w:t>
      </w:r>
      <w:r w:rsidR="00FF439C">
        <w:rPr>
          <w:rFonts w:ascii="Arial" w:hAnsi="Arial" w:cs="Arial"/>
          <w:sz w:val="22"/>
          <w:szCs w:val="22"/>
        </w:rPr>
        <w:t xml:space="preserve"> is geen exploitatieovereenkomst</w:t>
      </w:r>
      <w:r w:rsidR="00A640CE">
        <w:rPr>
          <w:rFonts w:ascii="Arial" w:hAnsi="Arial" w:cs="Arial"/>
          <w:sz w:val="22"/>
          <w:szCs w:val="22"/>
        </w:rPr>
        <w:t xml:space="preserve"> </w:t>
      </w:r>
      <w:r w:rsidR="004615B7">
        <w:rPr>
          <w:rFonts w:ascii="Arial" w:hAnsi="Arial" w:cs="Arial"/>
          <w:sz w:val="22"/>
          <w:szCs w:val="22"/>
        </w:rPr>
        <w:t xml:space="preserve">en </w:t>
      </w:r>
      <w:r w:rsidR="00A640CE">
        <w:rPr>
          <w:rFonts w:ascii="Arial" w:hAnsi="Arial" w:cs="Arial"/>
          <w:sz w:val="22"/>
          <w:szCs w:val="22"/>
        </w:rPr>
        <w:t xml:space="preserve">valt </w:t>
      </w:r>
      <w:r w:rsidR="00073381">
        <w:rPr>
          <w:rFonts w:ascii="Arial" w:hAnsi="Arial" w:cs="Arial"/>
          <w:sz w:val="22"/>
          <w:szCs w:val="22"/>
        </w:rPr>
        <w:t>evenmin</w:t>
      </w:r>
      <w:r w:rsidR="00A640CE">
        <w:rPr>
          <w:rFonts w:ascii="Arial" w:hAnsi="Arial" w:cs="Arial"/>
          <w:sz w:val="22"/>
          <w:szCs w:val="22"/>
        </w:rPr>
        <w:t xml:space="preserve"> onder deze </w:t>
      </w:r>
      <w:r w:rsidR="003F318B">
        <w:rPr>
          <w:rFonts w:ascii="Arial" w:hAnsi="Arial" w:cs="Arial"/>
          <w:sz w:val="22"/>
          <w:szCs w:val="22"/>
        </w:rPr>
        <w:t>ruimere</w:t>
      </w:r>
      <w:r w:rsidR="00073381">
        <w:rPr>
          <w:rFonts w:ascii="Arial" w:hAnsi="Arial" w:cs="Arial"/>
          <w:sz w:val="22"/>
          <w:szCs w:val="22"/>
        </w:rPr>
        <w:t xml:space="preserve"> </w:t>
      </w:r>
      <w:r w:rsidR="00A640CE">
        <w:rPr>
          <w:rFonts w:ascii="Arial" w:hAnsi="Arial" w:cs="Arial"/>
          <w:sz w:val="22"/>
          <w:szCs w:val="22"/>
        </w:rPr>
        <w:t xml:space="preserve">categorie. </w:t>
      </w:r>
      <w:r w:rsidR="00737ED3">
        <w:rPr>
          <w:rFonts w:ascii="Arial" w:hAnsi="Arial" w:cs="Arial"/>
          <w:sz w:val="22"/>
          <w:szCs w:val="22"/>
        </w:rPr>
        <w:t xml:space="preserve">Het Hof had </w:t>
      </w:r>
      <w:r w:rsidR="00EA5BCB">
        <w:rPr>
          <w:rFonts w:ascii="Arial" w:hAnsi="Arial" w:cs="Arial"/>
          <w:sz w:val="22"/>
          <w:szCs w:val="22"/>
        </w:rPr>
        <w:t xml:space="preserve">de inhoud van de </w:t>
      </w:r>
      <w:r w:rsidR="005268FA">
        <w:rPr>
          <w:rFonts w:ascii="Arial" w:hAnsi="Arial" w:cs="Arial"/>
          <w:sz w:val="22"/>
          <w:szCs w:val="22"/>
        </w:rPr>
        <w:t>managementovereenkomst</w:t>
      </w:r>
      <w:r w:rsidR="00EA5BCB">
        <w:rPr>
          <w:rFonts w:ascii="Arial" w:hAnsi="Arial" w:cs="Arial"/>
          <w:sz w:val="22"/>
          <w:szCs w:val="22"/>
        </w:rPr>
        <w:t xml:space="preserve"> </w:t>
      </w:r>
      <w:r w:rsidR="00C63088">
        <w:rPr>
          <w:rFonts w:ascii="Arial" w:hAnsi="Arial" w:cs="Arial"/>
          <w:sz w:val="22"/>
          <w:szCs w:val="22"/>
        </w:rPr>
        <w:t xml:space="preserve">ook </w:t>
      </w:r>
      <w:r w:rsidR="00051B2A">
        <w:rPr>
          <w:rFonts w:ascii="Arial" w:hAnsi="Arial" w:cs="Arial"/>
          <w:sz w:val="22"/>
          <w:szCs w:val="22"/>
        </w:rPr>
        <w:t xml:space="preserve">zuiver </w:t>
      </w:r>
      <w:r w:rsidR="00EA5BCB">
        <w:rPr>
          <w:rFonts w:ascii="Arial" w:hAnsi="Arial" w:cs="Arial"/>
          <w:sz w:val="22"/>
          <w:szCs w:val="22"/>
        </w:rPr>
        <w:t xml:space="preserve">kunnen toetsen aan </w:t>
      </w:r>
      <w:r w:rsidR="00FE4EA9">
        <w:rPr>
          <w:rFonts w:ascii="Arial" w:hAnsi="Arial" w:cs="Arial"/>
          <w:sz w:val="22"/>
          <w:szCs w:val="22"/>
        </w:rPr>
        <w:t>de algemene maatstaven van</w:t>
      </w:r>
      <w:r w:rsidR="0013487D">
        <w:rPr>
          <w:rFonts w:ascii="Arial" w:hAnsi="Arial" w:cs="Arial"/>
          <w:sz w:val="22"/>
          <w:szCs w:val="22"/>
        </w:rPr>
        <w:t xml:space="preserve"> </w:t>
      </w:r>
      <w:r w:rsidR="00EA5BCB">
        <w:rPr>
          <w:rFonts w:ascii="Arial" w:hAnsi="Arial" w:cs="Arial"/>
          <w:sz w:val="22"/>
          <w:szCs w:val="22"/>
        </w:rPr>
        <w:t xml:space="preserve">redelijkheid en billijkheid </w:t>
      </w:r>
      <w:r w:rsidR="00FE4EA9">
        <w:rPr>
          <w:rFonts w:ascii="Arial" w:hAnsi="Arial" w:cs="Arial"/>
          <w:sz w:val="22"/>
          <w:szCs w:val="22"/>
        </w:rPr>
        <w:t>in de zin van</w:t>
      </w:r>
      <w:r w:rsidR="00051B2A">
        <w:rPr>
          <w:rFonts w:ascii="Arial" w:hAnsi="Arial" w:cs="Arial"/>
          <w:sz w:val="22"/>
          <w:szCs w:val="22"/>
        </w:rPr>
        <w:t xml:space="preserve"> a</w:t>
      </w:r>
      <w:r w:rsidR="0013487D">
        <w:rPr>
          <w:rFonts w:ascii="Arial" w:hAnsi="Arial" w:cs="Arial"/>
          <w:sz w:val="22"/>
          <w:szCs w:val="22"/>
        </w:rPr>
        <w:t>rtikel</w:t>
      </w:r>
      <w:r w:rsidR="00EA5BCB">
        <w:rPr>
          <w:rFonts w:ascii="Arial" w:hAnsi="Arial" w:cs="Arial"/>
          <w:sz w:val="22"/>
          <w:szCs w:val="22"/>
        </w:rPr>
        <w:t xml:space="preserve"> 6:248 lid 2 BW</w:t>
      </w:r>
      <w:r w:rsidR="00051B2A">
        <w:rPr>
          <w:rFonts w:ascii="Arial" w:hAnsi="Arial" w:cs="Arial"/>
          <w:sz w:val="22"/>
          <w:szCs w:val="22"/>
        </w:rPr>
        <w:t xml:space="preserve"> nu </w:t>
      </w:r>
      <w:proofErr w:type="spellStart"/>
      <w:r w:rsidR="00051B2A">
        <w:rPr>
          <w:rFonts w:ascii="Arial" w:hAnsi="Arial" w:cs="Arial"/>
          <w:sz w:val="22"/>
          <w:szCs w:val="22"/>
        </w:rPr>
        <w:t>Garrix</w:t>
      </w:r>
      <w:proofErr w:type="spellEnd"/>
      <w:r w:rsidR="00051B2A">
        <w:rPr>
          <w:rFonts w:ascii="Arial" w:hAnsi="Arial" w:cs="Arial"/>
          <w:sz w:val="22"/>
          <w:szCs w:val="22"/>
        </w:rPr>
        <w:t xml:space="preserve"> zich </w:t>
      </w:r>
      <w:r w:rsidR="005F568C">
        <w:rPr>
          <w:rFonts w:ascii="Arial" w:hAnsi="Arial" w:cs="Arial"/>
          <w:sz w:val="22"/>
          <w:szCs w:val="22"/>
        </w:rPr>
        <w:t xml:space="preserve">hier </w:t>
      </w:r>
      <w:r w:rsidR="00051B2A">
        <w:rPr>
          <w:rFonts w:ascii="Arial" w:hAnsi="Arial" w:cs="Arial"/>
          <w:sz w:val="22"/>
          <w:szCs w:val="22"/>
        </w:rPr>
        <w:t>subsidiair</w:t>
      </w:r>
      <w:r w:rsidR="005F568C">
        <w:rPr>
          <w:rFonts w:ascii="Arial" w:hAnsi="Arial" w:cs="Arial"/>
          <w:sz w:val="22"/>
          <w:szCs w:val="22"/>
        </w:rPr>
        <w:t xml:space="preserve"> </w:t>
      </w:r>
      <w:r w:rsidR="00051B2A">
        <w:rPr>
          <w:rFonts w:ascii="Arial" w:hAnsi="Arial" w:cs="Arial"/>
          <w:sz w:val="22"/>
          <w:szCs w:val="22"/>
        </w:rPr>
        <w:t>op beriep</w:t>
      </w:r>
      <w:r w:rsidR="00EA5BCB">
        <w:rPr>
          <w:rFonts w:ascii="Arial" w:hAnsi="Arial" w:cs="Arial"/>
          <w:sz w:val="22"/>
          <w:szCs w:val="22"/>
        </w:rPr>
        <w:t>.</w:t>
      </w:r>
      <w:r w:rsidR="00FA2FE1">
        <w:rPr>
          <w:rFonts w:ascii="Arial" w:hAnsi="Arial" w:cs="Arial"/>
          <w:sz w:val="22"/>
          <w:szCs w:val="22"/>
        </w:rPr>
        <w:t xml:space="preserve"> </w:t>
      </w:r>
      <w:r w:rsidR="00DC08A7">
        <w:rPr>
          <w:rFonts w:ascii="Arial" w:hAnsi="Arial" w:cs="Arial"/>
          <w:sz w:val="22"/>
          <w:szCs w:val="22"/>
        </w:rPr>
        <w:t xml:space="preserve">De vraag is </w:t>
      </w:r>
      <w:r w:rsidR="00552560">
        <w:rPr>
          <w:rFonts w:ascii="Arial" w:hAnsi="Arial" w:cs="Arial"/>
          <w:sz w:val="22"/>
          <w:szCs w:val="22"/>
        </w:rPr>
        <w:t xml:space="preserve">op welke wijze het Hof invulling zou hebben gegeven aan de </w:t>
      </w:r>
      <w:r w:rsidR="008540EF">
        <w:rPr>
          <w:rFonts w:ascii="Arial" w:hAnsi="Arial" w:cs="Arial"/>
          <w:sz w:val="22"/>
          <w:szCs w:val="22"/>
        </w:rPr>
        <w:t xml:space="preserve">zwaardere maatstaf </w:t>
      </w:r>
      <w:r w:rsidR="00552560">
        <w:rPr>
          <w:rFonts w:ascii="Arial" w:hAnsi="Arial" w:cs="Arial"/>
          <w:sz w:val="22"/>
          <w:szCs w:val="22"/>
        </w:rPr>
        <w:t xml:space="preserve">van de </w:t>
      </w:r>
      <w:r w:rsidR="00197AEA">
        <w:rPr>
          <w:rFonts w:ascii="Arial" w:hAnsi="Arial" w:cs="Arial"/>
          <w:sz w:val="22"/>
          <w:szCs w:val="22"/>
        </w:rPr>
        <w:t>algemene</w:t>
      </w:r>
      <w:r w:rsidR="00552560">
        <w:rPr>
          <w:rFonts w:ascii="Arial" w:hAnsi="Arial" w:cs="Arial"/>
          <w:sz w:val="22"/>
          <w:szCs w:val="22"/>
        </w:rPr>
        <w:t xml:space="preserve"> redelijkheid en billijkheid, en of het eenzijdige optiebeding in de managementovereenkomst die toets had kunnen doorstaan. Nu sneuvelt het </w:t>
      </w:r>
      <w:r w:rsidR="002120FA">
        <w:rPr>
          <w:rFonts w:ascii="Arial" w:hAnsi="Arial" w:cs="Arial"/>
          <w:sz w:val="22"/>
          <w:szCs w:val="22"/>
        </w:rPr>
        <w:t>optie</w:t>
      </w:r>
      <w:r w:rsidR="00552560">
        <w:rPr>
          <w:rFonts w:ascii="Arial" w:hAnsi="Arial" w:cs="Arial"/>
          <w:sz w:val="22"/>
          <w:szCs w:val="22"/>
        </w:rPr>
        <w:t xml:space="preserve">beding </w:t>
      </w:r>
      <w:r w:rsidR="00A355C7">
        <w:rPr>
          <w:rFonts w:ascii="Arial" w:hAnsi="Arial" w:cs="Arial"/>
          <w:sz w:val="22"/>
          <w:szCs w:val="22"/>
        </w:rPr>
        <w:t xml:space="preserve">op basis van reflexwerking </w:t>
      </w:r>
      <w:r w:rsidR="00552560">
        <w:rPr>
          <w:rFonts w:ascii="Arial" w:hAnsi="Arial" w:cs="Arial"/>
          <w:sz w:val="22"/>
          <w:szCs w:val="22"/>
        </w:rPr>
        <w:t>aan de hand van de</w:t>
      </w:r>
      <w:r w:rsidR="002120FA">
        <w:rPr>
          <w:rFonts w:ascii="Arial" w:hAnsi="Arial" w:cs="Arial"/>
          <w:sz w:val="22"/>
          <w:szCs w:val="22"/>
        </w:rPr>
        <w:t xml:space="preserve"> </w:t>
      </w:r>
      <w:r w:rsidR="00552560">
        <w:rPr>
          <w:rFonts w:ascii="Arial" w:hAnsi="Arial" w:cs="Arial"/>
          <w:sz w:val="22"/>
          <w:szCs w:val="22"/>
        </w:rPr>
        <w:t>lichtere</w:t>
      </w:r>
      <w:r w:rsidR="00A355C7">
        <w:rPr>
          <w:rStyle w:val="Voetnootmarkering"/>
          <w:rFonts w:ascii="Arial" w:hAnsi="Arial" w:cs="Arial"/>
          <w:sz w:val="22"/>
          <w:szCs w:val="22"/>
        </w:rPr>
        <w:footnoteReference w:id="13"/>
      </w:r>
      <w:r w:rsidR="00552560">
        <w:rPr>
          <w:rFonts w:ascii="Arial" w:hAnsi="Arial" w:cs="Arial"/>
          <w:sz w:val="22"/>
          <w:szCs w:val="22"/>
        </w:rPr>
        <w:t xml:space="preserve"> toets van artikel 25f Aw</w:t>
      </w:r>
      <w:r w:rsidR="002120FA">
        <w:rPr>
          <w:rFonts w:ascii="Arial" w:hAnsi="Arial" w:cs="Arial"/>
          <w:sz w:val="22"/>
          <w:szCs w:val="22"/>
        </w:rPr>
        <w:t xml:space="preserve"> waarbij het optiebeding onder de gegeven feiten en omstandigheden </w:t>
      </w:r>
      <w:r w:rsidR="00BA0EDA">
        <w:rPr>
          <w:rFonts w:ascii="Arial" w:hAnsi="Arial" w:cs="Arial"/>
          <w:sz w:val="22"/>
          <w:szCs w:val="22"/>
        </w:rPr>
        <w:t xml:space="preserve">naar wordt aangenomen </w:t>
      </w:r>
      <w:r w:rsidR="002120FA">
        <w:rPr>
          <w:rFonts w:ascii="Arial" w:hAnsi="Arial" w:cs="Arial"/>
          <w:sz w:val="22"/>
          <w:szCs w:val="22"/>
        </w:rPr>
        <w:t xml:space="preserve">eerder kwalificeert als onredelijk bezwarend. </w:t>
      </w:r>
    </w:p>
    <w:p w14:paraId="1D2F9277" w14:textId="77777777" w:rsidR="00FA2FE1" w:rsidRDefault="00FA2FE1" w:rsidP="006F25CF">
      <w:pPr>
        <w:spacing w:line="300" w:lineRule="auto"/>
        <w:jc w:val="both"/>
        <w:rPr>
          <w:rFonts w:ascii="Arial" w:hAnsi="Arial" w:cs="Arial"/>
          <w:sz w:val="22"/>
          <w:szCs w:val="22"/>
        </w:rPr>
      </w:pPr>
    </w:p>
    <w:p w14:paraId="4668DF0B" w14:textId="03310C7F" w:rsidR="00EA5BCB" w:rsidRDefault="00FA2FE1" w:rsidP="006F25CF">
      <w:pPr>
        <w:spacing w:line="300" w:lineRule="auto"/>
        <w:jc w:val="both"/>
        <w:rPr>
          <w:rFonts w:ascii="Arial" w:hAnsi="Arial" w:cs="Arial"/>
          <w:sz w:val="22"/>
          <w:szCs w:val="22"/>
        </w:rPr>
      </w:pPr>
      <w:r>
        <w:rPr>
          <w:rFonts w:ascii="Arial" w:hAnsi="Arial" w:cs="Arial"/>
          <w:sz w:val="22"/>
          <w:szCs w:val="22"/>
        </w:rPr>
        <w:t xml:space="preserve">Het Hof oordeelt dat de eenzijdige optiebedingen in beide overeenkomsten onder de gegeven feiten en omstandigheden onredelijk bezwarend zijn voor </w:t>
      </w:r>
      <w:proofErr w:type="spellStart"/>
      <w:r>
        <w:rPr>
          <w:rFonts w:ascii="Arial" w:hAnsi="Arial" w:cs="Arial"/>
          <w:sz w:val="22"/>
          <w:szCs w:val="22"/>
        </w:rPr>
        <w:t>Garrix</w:t>
      </w:r>
      <w:proofErr w:type="spellEnd"/>
      <w:r w:rsidR="009348A7">
        <w:rPr>
          <w:rFonts w:ascii="Arial" w:hAnsi="Arial" w:cs="Arial"/>
          <w:sz w:val="22"/>
          <w:szCs w:val="22"/>
        </w:rPr>
        <w:t>, en daarmee nietig zijn</w:t>
      </w:r>
      <w:r>
        <w:rPr>
          <w:rFonts w:ascii="Arial" w:hAnsi="Arial" w:cs="Arial"/>
          <w:sz w:val="22"/>
          <w:szCs w:val="22"/>
        </w:rPr>
        <w:t xml:space="preserve">. Het Hof overweegt </w:t>
      </w:r>
      <w:r w:rsidR="00F068D8">
        <w:rPr>
          <w:rFonts w:ascii="Arial" w:hAnsi="Arial" w:cs="Arial"/>
          <w:sz w:val="22"/>
          <w:szCs w:val="22"/>
        </w:rPr>
        <w:t xml:space="preserve">daarbij </w:t>
      </w:r>
      <w:r>
        <w:rPr>
          <w:rFonts w:ascii="Arial" w:hAnsi="Arial" w:cs="Arial"/>
          <w:sz w:val="22"/>
          <w:szCs w:val="22"/>
        </w:rPr>
        <w:t xml:space="preserve">dat ten tijde van de verlenging al een groot commercieel succes was behaald en dat eenzijdige verlenging tegen dezelfde voorwaarden een onevenredig groot verschil </w:t>
      </w:r>
      <w:r w:rsidR="00C85391">
        <w:rPr>
          <w:rFonts w:ascii="Arial" w:hAnsi="Arial" w:cs="Arial"/>
          <w:sz w:val="22"/>
          <w:szCs w:val="22"/>
        </w:rPr>
        <w:t xml:space="preserve">tot gevolg heeft </w:t>
      </w:r>
      <w:r>
        <w:rPr>
          <w:rFonts w:ascii="Arial" w:hAnsi="Arial" w:cs="Arial"/>
          <w:sz w:val="22"/>
          <w:szCs w:val="22"/>
        </w:rPr>
        <w:t xml:space="preserve">in de vergoedingen </w:t>
      </w:r>
      <w:r w:rsidR="00BA0EDA">
        <w:rPr>
          <w:rFonts w:ascii="Arial" w:hAnsi="Arial" w:cs="Arial"/>
          <w:sz w:val="22"/>
          <w:szCs w:val="22"/>
        </w:rPr>
        <w:t>die</w:t>
      </w:r>
      <w:r>
        <w:rPr>
          <w:rFonts w:ascii="Arial" w:hAnsi="Arial" w:cs="Arial"/>
          <w:sz w:val="22"/>
          <w:szCs w:val="22"/>
        </w:rPr>
        <w:t xml:space="preserve"> de artiest </w:t>
      </w:r>
      <w:r w:rsidR="00BA0EDA">
        <w:rPr>
          <w:rFonts w:ascii="Arial" w:hAnsi="Arial" w:cs="Arial"/>
          <w:sz w:val="22"/>
          <w:szCs w:val="22"/>
        </w:rPr>
        <w:t xml:space="preserve">krijgt vergeleken </w:t>
      </w:r>
      <w:r w:rsidR="00F068D8">
        <w:rPr>
          <w:rFonts w:ascii="Arial" w:hAnsi="Arial" w:cs="Arial"/>
          <w:sz w:val="22"/>
          <w:szCs w:val="22"/>
        </w:rPr>
        <w:t>met</w:t>
      </w:r>
      <w:r>
        <w:rPr>
          <w:rFonts w:ascii="Arial" w:hAnsi="Arial" w:cs="Arial"/>
          <w:sz w:val="22"/>
          <w:szCs w:val="22"/>
        </w:rPr>
        <w:t xml:space="preserve"> de opbrengsten van </w:t>
      </w:r>
      <w:proofErr w:type="spellStart"/>
      <w:r>
        <w:rPr>
          <w:rFonts w:ascii="Arial" w:hAnsi="Arial" w:cs="Arial"/>
          <w:sz w:val="22"/>
          <w:szCs w:val="22"/>
        </w:rPr>
        <w:t>Spinnin</w:t>
      </w:r>
      <w:proofErr w:type="spellEnd"/>
      <w:r>
        <w:rPr>
          <w:rFonts w:ascii="Arial" w:hAnsi="Arial" w:cs="Arial"/>
          <w:sz w:val="22"/>
          <w:szCs w:val="22"/>
        </w:rPr>
        <w:t xml:space="preserve">’ Records.   </w:t>
      </w:r>
    </w:p>
    <w:p w14:paraId="2C399DEF" w14:textId="77777777" w:rsidR="00EA5BCB" w:rsidRDefault="00EA5BCB" w:rsidP="006F25CF">
      <w:pPr>
        <w:spacing w:line="300" w:lineRule="auto"/>
        <w:jc w:val="both"/>
        <w:rPr>
          <w:rFonts w:ascii="Arial" w:hAnsi="Arial" w:cs="Arial"/>
          <w:sz w:val="22"/>
          <w:szCs w:val="22"/>
        </w:rPr>
      </w:pPr>
    </w:p>
    <w:p w14:paraId="0085B741" w14:textId="507EA4C3" w:rsidR="00312229" w:rsidRPr="009E418C" w:rsidRDefault="00DF5DF6" w:rsidP="006F25CF">
      <w:pPr>
        <w:spacing w:line="300" w:lineRule="auto"/>
        <w:jc w:val="both"/>
        <w:rPr>
          <w:rFonts w:ascii="Arial" w:hAnsi="Arial" w:cs="Arial"/>
          <w:sz w:val="22"/>
          <w:szCs w:val="22"/>
        </w:rPr>
      </w:pPr>
      <w:r w:rsidRPr="00DF5DF6">
        <w:rPr>
          <w:rFonts w:ascii="Arial" w:hAnsi="Arial" w:cs="Arial"/>
          <w:b/>
          <w:sz w:val="22"/>
          <w:szCs w:val="22"/>
        </w:rPr>
        <w:t>Fonogrammenproducent</w:t>
      </w:r>
    </w:p>
    <w:p w14:paraId="78A3A9BC" w14:textId="15782CF4" w:rsidR="00DF5DF6" w:rsidRDefault="00F068D8" w:rsidP="006F25CF">
      <w:pPr>
        <w:spacing w:line="300" w:lineRule="auto"/>
        <w:jc w:val="both"/>
        <w:rPr>
          <w:rFonts w:ascii="Arial" w:hAnsi="Arial" w:cs="Arial"/>
          <w:sz w:val="22"/>
          <w:szCs w:val="22"/>
        </w:rPr>
      </w:pPr>
      <w:r>
        <w:rPr>
          <w:rFonts w:ascii="Arial" w:hAnsi="Arial" w:cs="Arial"/>
          <w:sz w:val="22"/>
          <w:szCs w:val="22"/>
        </w:rPr>
        <w:t xml:space="preserve">De Rechtbank oordeelde dat </w:t>
      </w:r>
      <w:proofErr w:type="spellStart"/>
      <w:r>
        <w:rPr>
          <w:rFonts w:ascii="Arial" w:hAnsi="Arial" w:cs="Arial"/>
          <w:sz w:val="22"/>
          <w:szCs w:val="22"/>
        </w:rPr>
        <w:t>Garrix</w:t>
      </w:r>
      <w:proofErr w:type="spellEnd"/>
      <w:r>
        <w:rPr>
          <w:rFonts w:ascii="Arial" w:hAnsi="Arial" w:cs="Arial"/>
          <w:sz w:val="22"/>
          <w:szCs w:val="22"/>
        </w:rPr>
        <w:t xml:space="preserve"> in nabuurrechtelijke zin de fonogrammenproducent van</w:t>
      </w:r>
      <w:r w:rsidR="00AE4B98">
        <w:rPr>
          <w:rFonts w:ascii="Arial" w:hAnsi="Arial" w:cs="Arial"/>
          <w:sz w:val="22"/>
          <w:szCs w:val="22"/>
        </w:rPr>
        <w:t xml:space="preserve"> zijn </w:t>
      </w:r>
      <w:r>
        <w:rPr>
          <w:rFonts w:ascii="Arial" w:hAnsi="Arial" w:cs="Arial"/>
          <w:sz w:val="22"/>
          <w:szCs w:val="22"/>
        </w:rPr>
        <w:t xml:space="preserve">opnamen is, met inbegrip van zijn wereldhit ‘Animals’, en niet </w:t>
      </w:r>
      <w:proofErr w:type="spellStart"/>
      <w:r>
        <w:rPr>
          <w:rFonts w:ascii="Arial" w:hAnsi="Arial" w:cs="Arial"/>
          <w:sz w:val="22"/>
          <w:szCs w:val="22"/>
        </w:rPr>
        <w:t>Spinnin</w:t>
      </w:r>
      <w:proofErr w:type="spellEnd"/>
      <w:r>
        <w:rPr>
          <w:rFonts w:ascii="Arial" w:hAnsi="Arial" w:cs="Arial"/>
          <w:sz w:val="22"/>
          <w:szCs w:val="22"/>
        </w:rPr>
        <w:t xml:space="preserve">’ Records. </w:t>
      </w:r>
      <w:r w:rsidR="00DF5DF6">
        <w:rPr>
          <w:rFonts w:ascii="Arial" w:hAnsi="Arial" w:cs="Arial"/>
          <w:sz w:val="22"/>
          <w:szCs w:val="22"/>
        </w:rPr>
        <w:t>Platenmaatschappijen zagen zich na de</w:t>
      </w:r>
      <w:r>
        <w:rPr>
          <w:rFonts w:ascii="Arial" w:hAnsi="Arial" w:cs="Arial"/>
          <w:sz w:val="22"/>
          <w:szCs w:val="22"/>
        </w:rPr>
        <w:t>ze</w:t>
      </w:r>
      <w:r w:rsidR="00DF5DF6">
        <w:rPr>
          <w:rFonts w:ascii="Arial" w:hAnsi="Arial" w:cs="Arial"/>
          <w:sz w:val="22"/>
          <w:szCs w:val="22"/>
        </w:rPr>
        <w:t xml:space="preserve"> uitspraak geconfronteerd met een nieuwe realiteit waarbij ‘zolderkamerproducers’ – artiesten en producers die hun muziek </w:t>
      </w:r>
      <w:r w:rsidR="000B33C0">
        <w:rPr>
          <w:rFonts w:ascii="Arial" w:hAnsi="Arial" w:cs="Arial"/>
          <w:sz w:val="22"/>
          <w:szCs w:val="22"/>
        </w:rPr>
        <w:t xml:space="preserve">vaak thuis </w:t>
      </w:r>
      <w:r w:rsidR="00DF5DF6">
        <w:rPr>
          <w:rFonts w:ascii="Arial" w:hAnsi="Arial" w:cs="Arial"/>
          <w:sz w:val="22"/>
          <w:szCs w:val="22"/>
        </w:rPr>
        <w:t xml:space="preserve">in de eigen studio en op eigen apparatuur opnemen - als fonogrammenproducent van de door hen vervaardigde opnamen kunnen worden aangemerkt. En niet de platenmaatschappij, zoals </w:t>
      </w:r>
      <w:r w:rsidR="000B33C0">
        <w:rPr>
          <w:rFonts w:ascii="Arial" w:hAnsi="Arial" w:cs="Arial"/>
          <w:sz w:val="22"/>
          <w:szCs w:val="22"/>
        </w:rPr>
        <w:t xml:space="preserve">vaak </w:t>
      </w:r>
      <w:r w:rsidR="00DF5DF6">
        <w:rPr>
          <w:rFonts w:ascii="Arial" w:hAnsi="Arial" w:cs="Arial"/>
          <w:sz w:val="22"/>
          <w:szCs w:val="22"/>
        </w:rPr>
        <w:t>in dit soort platen-, producers- en artiestencontracten</w:t>
      </w:r>
      <w:r>
        <w:rPr>
          <w:rFonts w:ascii="Arial" w:hAnsi="Arial" w:cs="Arial"/>
          <w:sz w:val="22"/>
          <w:szCs w:val="22"/>
        </w:rPr>
        <w:t xml:space="preserve"> tot</w:t>
      </w:r>
      <w:r w:rsidR="00DF5DF6">
        <w:rPr>
          <w:rFonts w:ascii="Arial" w:hAnsi="Arial" w:cs="Arial"/>
          <w:sz w:val="22"/>
          <w:szCs w:val="22"/>
        </w:rPr>
        <w:t xml:space="preserve"> uitgangspunt </w:t>
      </w:r>
      <w:r>
        <w:rPr>
          <w:rFonts w:ascii="Arial" w:hAnsi="Arial" w:cs="Arial"/>
          <w:sz w:val="22"/>
          <w:szCs w:val="22"/>
        </w:rPr>
        <w:t>wordt genomen</w:t>
      </w:r>
      <w:r w:rsidR="00DF5DF6">
        <w:rPr>
          <w:rFonts w:ascii="Arial" w:hAnsi="Arial" w:cs="Arial"/>
          <w:sz w:val="22"/>
          <w:szCs w:val="22"/>
        </w:rPr>
        <w:t xml:space="preserve">. </w:t>
      </w:r>
    </w:p>
    <w:p w14:paraId="0FEF95A0" w14:textId="754BD21F" w:rsidR="00F068D8" w:rsidRDefault="00F068D8" w:rsidP="006F25CF">
      <w:pPr>
        <w:spacing w:line="300" w:lineRule="auto"/>
        <w:jc w:val="both"/>
        <w:rPr>
          <w:rFonts w:ascii="Arial" w:hAnsi="Arial" w:cs="Arial"/>
          <w:sz w:val="22"/>
          <w:szCs w:val="22"/>
        </w:rPr>
      </w:pPr>
    </w:p>
    <w:p w14:paraId="285890D7" w14:textId="73942924" w:rsidR="00313174" w:rsidRDefault="00F068D8" w:rsidP="006F25CF">
      <w:pPr>
        <w:spacing w:line="300" w:lineRule="auto"/>
        <w:jc w:val="both"/>
        <w:rPr>
          <w:rFonts w:ascii="Arial" w:hAnsi="Arial" w:cs="Arial"/>
          <w:sz w:val="22"/>
          <w:szCs w:val="22"/>
        </w:rPr>
      </w:pPr>
      <w:r>
        <w:rPr>
          <w:rFonts w:ascii="Arial" w:hAnsi="Arial" w:cs="Arial"/>
          <w:sz w:val="22"/>
          <w:szCs w:val="22"/>
        </w:rPr>
        <w:t>Het Hof bevestigt het oordeel van de Rechtbank</w:t>
      </w:r>
      <w:r w:rsidR="009C4DD5">
        <w:rPr>
          <w:rFonts w:ascii="Arial" w:hAnsi="Arial" w:cs="Arial"/>
          <w:sz w:val="22"/>
          <w:szCs w:val="22"/>
        </w:rPr>
        <w:t xml:space="preserve">. </w:t>
      </w:r>
      <w:proofErr w:type="spellStart"/>
      <w:r w:rsidR="00AE4B98">
        <w:rPr>
          <w:rFonts w:ascii="Arial" w:hAnsi="Arial" w:cs="Arial"/>
          <w:sz w:val="22"/>
          <w:szCs w:val="22"/>
        </w:rPr>
        <w:t>Garrix</w:t>
      </w:r>
      <w:proofErr w:type="spellEnd"/>
      <w:r w:rsidR="00AE4B98">
        <w:rPr>
          <w:rFonts w:ascii="Arial" w:hAnsi="Arial" w:cs="Arial"/>
          <w:sz w:val="22"/>
          <w:szCs w:val="22"/>
        </w:rPr>
        <w:t xml:space="preserve"> </w:t>
      </w:r>
      <w:r w:rsidR="009C4DD5">
        <w:rPr>
          <w:rFonts w:ascii="Arial" w:hAnsi="Arial" w:cs="Arial"/>
          <w:sz w:val="22"/>
          <w:szCs w:val="22"/>
        </w:rPr>
        <w:t xml:space="preserve">is </w:t>
      </w:r>
      <w:r w:rsidR="00AE4B98">
        <w:rPr>
          <w:rFonts w:ascii="Arial" w:hAnsi="Arial" w:cs="Arial"/>
          <w:sz w:val="22"/>
          <w:szCs w:val="22"/>
        </w:rPr>
        <w:t xml:space="preserve">fonogrammenproducent </w:t>
      </w:r>
      <w:r w:rsidR="00E52DD8">
        <w:rPr>
          <w:rFonts w:ascii="Arial" w:hAnsi="Arial" w:cs="Arial"/>
          <w:sz w:val="22"/>
          <w:szCs w:val="22"/>
        </w:rPr>
        <w:t xml:space="preserve">in de zin van artikel 1d </w:t>
      </w:r>
      <w:proofErr w:type="spellStart"/>
      <w:r w:rsidR="00E52DD8">
        <w:rPr>
          <w:rFonts w:ascii="Arial" w:hAnsi="Arial" w:cs="Arial"/>
          <w:sz w:val="22"/>
          <w:szCs w:val="22"/>
        </w:rPr>
        <w:t>Wnr</w:t>
      </w:r>
      <w:proofErr w:type="spellEnd"/>
      <w:r w:rsidR="00E52DD8">
        <w:rPr>
          <w:rFonts w:ascii="Arial" w:hAnsi="Arial" w:cs="Arial"/>
          <w:sz w:val="22"/>
          <w:szCs w:val="22"/>
        </w:rPr>
        <w:t xml:space="preserve"> </w:t>
      </w:r>
      <w:r w:rsidR="00AE4B98">
        <w:rPr>
          <w:rFonts w:ascii="Arial" w:hAnsi="Arial" w:cs="Arial"/>
          <w:sz w:val="22"/>
          <w:szCs w:val="22"/>
        </w:rPr>
        <w:t xml:space="preserve">van zijn opnamen. </w:t>
      </w:r>
      <w:r w:rsidR="0051000D">
        <w:rPr>
          <w:rFonts w:ascii="Arial" w:hAnsi="Arial" w:cs="Arial"/>
          <w:sz w:val="22"/>
          <w:szCs w:val="22"/>
        </w:rPr>
        <w:t xml:space="preserve">Uit de parlementaire geschiedenis van de </w:t>
      </w:r>
      <w:proofErr w:type="spellStart"/>
      <w:r w:rsidR="0051000D">
        <w:rPr>
          <w:rFonts w:ascii="Arial" w:hAnsi="Arial" w:cs="Arial"/>
          <w:sz w:val="22"/>
          <w:szCs w:val="22"/>
        </w:rPr>
        <w:t>Wnr</w:t>
      </w:r>
      <w:proofErr w:type="spellEnd"/>
      <w:r w:rsidR="0051000D">
        <w:rPr>
          <w:rFonts w:ascii="Arial" w:hAnsi="Arial" w:cs="Arial"/>
          <w:sz w:val="22"/>
          <w:szCs w:val="22"/>
        </w:rPr>
        <w:t xml:space="preserve"> volgt dat </w:t>
      </w:r>
      <w:r w:rsidR="0051000D">
        <w:rPr>
          <w:rFonts w:ascii="Arial" w:hAnsi="Arial" w:cs="Arial"/>
          <w:sz w:val="22"/>
          <w:szCs w:val="22"/>
        </w:rPr>
        <w:lastRenderedPageBreak/>
        <w:t>vervaardigen het centrale begrip is.</w:t>
      </w:r>
      <w:r w:rsidR="0051000D">
        <w:rPr>
          <w:rStyle w:val="Voetnootmarkering"/>
          <w:rFonts w:ascii="Arial" w:hAnsi="Arial" w:cs="Arial"/>
          <w:sz w:val="22"/>
          <w:szCs w:val="22"/>
        </w:rPr>
        <w:footnoteReference w:id="14"/>
      </w:r>
      <w:r w:rsidR="0051000D">
        <w:rPr>
          <w:rFonts w:ascii="Arial" w:hAnsi="Arial" w:cs="Arial"/>
          <w:sz w:val="22"/>
          <w:szCs w:val="22"/>
        </w:rPr>
        <w:t xml:space="preserve"> </w:t>
      </w:r>
      <w:r w:rsidR="00F76FDB">
        <w:rPr>
          <w:rFonts w:ascii="Arial" w:hAnsi="Arial" w:cs="Arial"/>
          <w:sz w:val="22"/>
          <w:szCs w:val="22"/>
        </w:rPr>
        <w:t xml:space="preserve">Het Hof lijkt vooral te worstelen met de vraag </w:t>
      </w:r>
      <w:r w:rsidR="009C4DD5">
        <w:rPr>
          <w:rFonts w:ascii="Arial" w:hAnsi="Arial" w:cs="Arial"/>
          <w:sz w:val="22"/>
          <w:szCs w:val="22"/>
        </w:rPr>
        <w:t>wat in het</w:t>
      </w:r>
      <w:r w:rsidR="00F76FDB">
        <w:rPr>
          <w:rFonts w:ascii="Arial" w:hAnsi="Arial" w:cs="Arial"/>
          <w:sz w:val="22"/>
          <w:szCs w:val="22"/>
        </w:rPr>
        <w:t xml:space="preserve"> kader van </w:t>
      </w:r>
      <w:r w:rsidR="009C4DD5">
        <w:rPr>
          <w:rFonts w:ascii="Arial" w:hAnsi="Arial" w:cs="Arial"/>
          <w:sz w:val="22"/>
          <w:szCs w:val="22"/>
        </w:rPr>
        <w:t xml:space="preserve">elektronische muziek onder het (doen) vervaardigen van een fonogram moet worden verstaan. </w:t>
      </w:r>
      <w:r w:rsidR="00F76FDB">
        <w:rPr>
          <w:rFonts w:ascii="Arial" w:hAnsi="Arial" w:cs="Arial"/>
          <w:sz w:val="22"/>
          <w:szCs w:val="22"/>
        </w:rPr>
        <w:t>Tegen de achtergrond van internationale verdragen</w:t>
      </w:r>
      <w:r w:rsidR="00802C96">
        <w:rPr>
          <w:rStyle w:val="Voetnootmarkering"/>
          <w:rFonts w:ascii="Arial" w:hAnsi="Arial" w:cs="Arial"/>
          <w:sz w:val="22"/>
          <w:szCs w:val="22"/>
        </w:rPr>
        <w:footnoteReference w:id="15"/>
      </w:r>
      <w:r w:rsidR="00F76FDB">
        <w:rPr>
          <w:rFonts w:ascii="Arial" w:hAnsi="Arial" w:cs="Arial"/>
          <w:sz w:val="22"/>
          <w:szCs w:val="22"/>
        </w:rPr>
        <w:t xml:space="preserve"> en in </w:t>
      </w:r>
      <w:r w:rsidR="00764D87">
        <w:rPr>
          <w:rFonts w:ascii="Arial" w:hAnsi="Arial" w:cs="Arial"/>
          <w:sz w:val="22"/>
          <w:szCs w:val="22"/>
        </w:rPr>
        <w:t>lijn met Europese jurisprudentie</w:t>
      </w:r>
      <w:r w:rsidR="000B33C0">
        <w:rPr>
          <w:rStyle w:val="Voetnootmarkering"/>
          <w:rFonts w:ascii="Arial" w:hAnsi="Arial" w:cs="Arial"/>
          <w:sz w:val="22"/>
          <w:szCs w:val="22"/>
        </w:rPr>
        <w:footnoteReference w:id="16"/>
      </w:r>
      <w:r w:rsidR="000B33C0">
        <w:rPr>
          <w:rFonts w:ascii="Arial" w:hAnsi="Arial" w:cs="Arial"/>
          <w:sz w:val="22"/>
          <w:szCs w:val="22"/>
        </w:rPr>
        <w:t xml:space="preserve"> benadrukt het Hof dat </w:t>
      </w:r>
      <w:r w:rsidR="00E52DD8">
        <w:rPr>
          <w:rFonts w:ascii="Arial" w:hAnsi="Arial" w:cs="Arial"/>
          <w:sz w:val="22"/>
          <w:szCs w:val="22"/>
        </w:rPr>
        <w:t xml:space="preserve">het </w:t>
      </w:r>
      <w:r w:rsidR="000B33C0">
        <w:rPr>
          <w:rFonts w:ascii="Arial" w:hAnsi="Arial" w:cs="Arial"/>
          <w:sz w:val="22"/>
          <w:szCs w:val="22"/>
        </w:rPr>
        <w:t xml:space="preserve">doel van de bescherming van </w:t>
      </w:r>
      <w:proofErr w:type="gramStart"/>
      <w:r w:rsidR="000B33C0">
        <w:rPr>
          <w:rFonts w:ascii="Arial" w:hAnsi="Arial" w:cs="Arial"/>
          <w:sz w:val="22"/>
          <w:szCs w:val="22"/>
        </w:rPr>
        <w:t xml:space="preserve">de </w:t>
      </w:r>
      <w:r w:rsidR="00802C96">
        <w:rPr>
          <w:rFonts w:ascii="Arial" w:hAnsi="Arial" w:cs="Arial"/>
          <w:sz w:val="22"/>
          <w:szCs w:val="22"/>
        </w:rPr>
        <w:t xml:space="preserve"> </w:t>
      </w:r>
      <w:r w:rsidR="000B33C0">
        <w:rPr>
          <w:rFonts w:ascii="Arial" w:hAnsi="Arial" w:cs="Arial"/>
          <w:sz w:val="22"/>
          <w:szCs w:val="22"/>
        </w:rPr>
        <w:t>fonogrammen</w:t>
      </w:r>
      <w:r w:rsidR="00E52DD8">
        <w:rPr>
          <w:rFonts w:ascii="Arial" w:hAnsi="Arial" w:cs="Arial"/>
          <w:sz w:val="22"/>
          <w:szCs w:val="22"/>
        </w:rPr>
        <w:t>producent</w:t>
      </w:r>
      <w:proofErr w:type="gramEnd"/>
      <w:r w:rsidR="00E52DD8">
        <w:rPr>
          <w:rFonts w:ascii="Arial" w:hAnsi="Arial" w:cs="Arial"/>
          <w:sz w:val="22"/>
          <w:szCs w:val="22"/>
        </w:rPr>
        <w:t xml:space="preserve"> is</w:t>
      </w:r>
      <w:r w:rsidR="00802C96">
        <w:rPr>
          <w:rFonts w:ascii="Arial" w:hAnsi="Arial" w:cs="Arial"/>
          <w:sz w:val="22"/>
          <w:szCs w:val="22"/>
        </w:rPr>
        <w:t xml:space="preserve"> </w:t>
      </w:r>
      <w:r w:rsidR="000B33C0">
        <w:rPr>
          <w:rFonts w:ascii="Arial" w:hAnsi="Arial" w:cs="Arial"/>
          <w:sz w:val="22"/>
          <w:szCs w:val="22"/>
        </w:rPr>
        <w:t>het terugverdienen van bijzonder hoge en riskante investeringen</w:t>
      </w:r>
      <w:r w:rsidR="00764D87">
        <w:rPr>
          <w:rFonts w:ascii="Arial" w:hAnsi="Arial" w:cs="Arial"/>
          <w:sz w:val="22"/>
          <w:szCs w:val="22"/>
        </w:rPr>
        <w:t xml:space="preserve"> en dat de begrippen uit de </w:t>
      </w:r>
      <w:proofErr w:type="spellStart"/>
      <w:r w:rsidR="00764D87">
        <w:rPr>
          <w:rFonts w:ascii="Arial" w:hAnsi="Arial" w:cs="Arial"/>
          <w:sz w:val="22"/>
          <w:szCs w:val="22"/>
        </w:rPr>
        <w:t>Wnr</w:t>
      </w:r>
      <w:proofErr w:type="spellEnd"/>
      <w:r w:rsidR="00764D87">
        <w:rPr>
          <w:rFonts w:ascii="Arial" w:hAnsi="Arial" w:cs="Arial"/>
          <w:sz w:val="22"/>
          <w:szCs w:val="22"/>
        </w:rPr>
        <w:t xml:space="preserve"> richtlijnconform moeten worden uitgelegd</w:t>
      </w:r>
      <w:r w:rsidR="000B33C0">
        <w:rPr>
          <w:rFonts w:ascii="Arial" w:hAnsi="Arial" w:cs="Arial"/>
          <w:sz w:val="22"/>
          <w:szCs w:val="22"/>
        </w:rPr>
        <w:t>.</w:t>
      </w:r>
      <w:r w:rsidR="009C4DD5">
        <w:rPr>
          <w:rFonts w:ascii="Arial" w:hAnsi="Arial" w:cs="Arial"/>
          <w:sz w:val="22"/>
          <w:szCs w:val="22"/>
        </w:rPr>
        <w:t xml:space="preserve"> </w:t>
      </w:r>
      <w:r w:rsidR="005F5ED5">
        <w:rPr>
          <w:rFonts w:ascii="Arial" w:hAnsi="Arial" w:cs="Arial"/>
          <w:sz w:val="22"/>
          <w:szCs w:val="22"/>
        </w:rPr>
        <w:t xml:space="preserve">Het oordeel van de Rechtbank leunt zwaar op de overweging dat het naburig recht van de fonogrammenproducent toekomt aan degene die het financiële risico draagt van de kosten die verband houden met de eerste vastlegging van een opname. Het Hof is het met partijen eens dat hierbij </w:t>
      </w:r>
      <w:r w:rsidR="007624C1">
        <w:rPr>
          <w:rFonts w:ascii="Arial" w:hAnsi="Arial" w:cs="Arial"/>
          <w:sz w:val="22"/>
          <w:szCs w:val="22"/>
        </w:rPr>
        <w:t>met name</w:t>
      </w:r>
      <w:r w:rsidR="005F5ED5">
        <w:rPr>
          <w:rFonts w:ascii="Arial" w:hAnsi="Arial" w:cs="Arial"/>
          <w:sz w:val="22"/>
          <w:szCs w:val="22"/>
        </w:rPr>
        <w:t xml:space="preserve"> bepalend is wie het initiatief tot en de verantwoordelijkheid voor de eerste vastlegging neemt.</w:t>
      </w:r>
      <w:r w:rsidR="00EA5D3A">
        <w:rPr>
          <w:rFonts w:ascii="Arial" w:hAnsi="Arial" w:cs="Arial"/>
          <w:sz w:val="22"/>
          <w:szCs w:val="22"/>
        </w:rPr>
        <w:t xml:space="preserve"> Verantwoordelijkheid kan in dit verband economisch, financieel, technisch, organisatorisch en/of artistiek van aard zijn</w:t>
      </w:r>
      <w:r w:rsidR="00EA5D3A">
        <w:rPr>
          <w:rStyle w:val="Voetnootmarkering"/>
          <w:rFonts w:ascii="Arial" w:hAnsi="Arial" w:cs="Arial"/>
          <w:sz w:val="22"/>
          <w:szCs w:val="22"/>
        </w:rPr>
        <w:footnoteReference w:id="17"/>
      </w:r>
      <w:r w:rsidR="00EA5D3A">
        <w:rPr>
          <w:rFonts w:ascii="Arial" w:hAnsi="Arial" w:cs="Arial"/>
          <w:sz w:val="22"/>
          <w:szCs w:val="22"/>
        </w:rPr>
        <w:t>.</w:t>
      </w:r>
      <w:r w:rsidR="005F5ED5">
        <w:rPr>
          <w:rFonts w:ascii="Arial" w:hAnsi="Arial" w:cs="Arial"/>
          <w:sz w:val="22"/>
          <w:szCs w:val="22"/>
        </w:rPr>
        <w:t xml:space="preserve"> Het Hof overweegt op spreekwoordelijke kousenvoeten dat de uitleg van de Rechtbank hier mogelijk te beperkt is geweest.</w:t>
      </w:r>
      <w:r w:rsidR="004B0095">
        <w:rPr>
          <w:rFonts w:ascii="Arial" w:hAnsi="Arial" w:cs="Arial"/>
          <w:sz w:val="22"/>
          <w:szCs w:val="22"/>
        </w:rPr>
        <w:t xml:space="preserve"> </w:t>
      </w:r>
      <w:r w:rsidR="00313174">
        <w:rPr>
          <w:rFonts w:ascii="Arial" w:hAnsi="Arial" w:cs="Arial"/>
          <w:sz w:val="22"/>
          <w:szCs w:val="22"/>
        </w:rPr>
        <w:t xml:space="preserve">In mijn optiek zijn het dragen van </w:t>
      </w:r>
      <w:r w:rsidR="005F3663">
        <w:rPr>
          <w:rFonts w:ascii="Arial" w:hAnsi="Arial" w:cs="Arial"/>
          <w:sz w:val="22"/>
          <w:szCs w:val="22"/>
        </w:rPr>
        <w:t>verantwoordelijkheid</w:t>
      </w:r>
      <w:r w:rsidR="00313174">
        <w:rPr>
          <w:rFonts w:ascii="Arial" w:hAnsi="Arial" w:cs="Arial"/>
          <w:sz w:val="22"/>
          <w:szCs w:val="22"/>
        </w:rPr>
        <w:t xml:space="preserve"> en het nemen van </w:t>
      </w:r>
      <w:r w:rsidR="00407499">
        <w:rPr>
          <w:rFonts w:ascii="Arial" w:hAnsi="Arial" w:cs="Arial"/>
          <w:sz w:val="22"/>
          <w:szCs w:val="22"/>
        </w:rPr>
        <w:t xml:space="preserve">het </w:t>
      </w:r>
      <w:r w:rsidR="00313174">
        <w:rPr>
          <w:rFonts w:ascii="Arial" w:hAnsi="Arial" w:cs="Arial"/>
          <w:sz w:val="22"/>
          <w:szCs w:val="22"/>
        </w:rPr>
        <w:t>initiatief tot vervaardig</w:t>
      </w:r>
      <w:r w:rsidR="00407499">
        <w:rPr>
          <w:rFonts w:ascii="Arial" w:hAnsi="Arial" w:cs="Arial"/>
          <w:sz w:val="22"/>
          <w:szCs w:val="22"/>
        </w:rPr>
        <w:t>ing</w:t>
      </w:r>
      <w:r w:rsidR="00313174">
        <w:rPr>
          <w:rFonts w:ascii="Arial" w:hAnsi="Arial" w:cs="Arial"/>
          <w:sz w:val="22"/>
          <w:szCs w:val="22"/>
        </w:rPr>
        <w:t xml:space="preserve"> van de eerste opname</w:t>
      </w:r>
      <w:r w:rsidR="00407499">
        <w:rPr>
          <w:rFonts w:ascii="Arial" w:hAnsi="Arial" w:cs="Arial"/>
          <w:sz w:val="22"/>
          <w:szCs w:val="22"/>
        </w:rPr>
        <w:t xml:space="preserve"> communicerende vaten in het kader van de</w:t>
      </w:r>
      <w:r w:rsidR="00AE11A7">
        <w:rPr>
          <w:rFonts w:ascii="Arial" w:hAnsi="Arial" w:cs="Arial"/>
          <w:sz w:val="22"/>
          <w:szCs w:val="22"/>
        </w:rPr>
        <w:t>ze</w:t>
      </w:r>
      <w:r w:rsidR="00407499">
        <w:rPr>
          <w:rFonts w:ascii="Arial" w:hAnsi="Arial" w:cs="Arial"/>
          <w:sz w:val="22"/>
          <w:szCs w:val="22"/>
        </w:rPr>
        <w:t xml:space="preserve"> </w:t>
      </w:r>
      <w:r w:rsidR="005F3663">
        <w:rPr>
          <w:rFonts w:ascii="Arial" w:hAnsi="Arial" w:cs="Arial"/>
          <w:sz w:val="22"/>
          <w:szCs w:val="22"/>
        </w:rPr>
        <w:t xml:space="preserve">nabuurrechtelijke </w:t>
      </w:r>
      <w:r w:rsidR="00407499">
        <w:rPr>
          <w:rFonts w:ascii="Arial" w:hAnsi="Arial" w:cs="Arial"/>
          <w:sz w:val="22"/>
          <w:szCs w:val="22"/>
        </w:rPr>
        <w:t>kwalificatievraag</w:t>
      </w:r>
      <w:r w:rsidR="00313174">
        <w:rPr>
          <w:rFonts w:ascii="Arial" w:hAnsi="Arial" w:cs="Arial"/>
          <w:sz w:val="22"/>
          <w:szCs w:val="22"/>
        </w:rPr>
        <w:t>.</w:t>
      </w:r>
      <w:r w:rsidR="00407499">
        <w:rPr>
          <w:rFonts w:ascii="Arial" w:hAnsi="Arial" w:cs="Arial"/>
          <w:sz w:val="22"/>
          <w:szCs w:val="22"/>
        </w:rPr>
        <w:t xml:space="preserve"> Het alleen maar inbrengen van kapitaal en de</w:t>
      </w:r>
      <w:r w:rsidR="00EA5D3A">
        <w:rPr>
          <w:rFonts w:ascii="Arial" w:hAnsi="Arial" w:cs="Arial"/>
          <w:sz w:val="22"/>
          <w:szCs w:val="22"/>
        </w:rPr>
        <w:t xml:space="preserve"> vervaardiging van de</w:t>
      </w:r>
      <w:r w:rsidR="00407499">
        <w:rPr>
          <w:rFonts w:ascii="Arial" w:hAnsi="Arial" w:cs="Arial"/>
          <w:sz w:val="22"/>
          <w:szCs w:val="22"/>
        </w:rPr>
        <w:t xml:space="preserve"> (eerste) opname volledig overlaten aan een </w:t>
      </w:r>
      <w:r w:rsidR="00AE11A7">
        <w:rPr>
          <w:rFonts w:ascii="Arial" w:hAnsi="Arial" w:cs="Arial"/>
          <w:sz w:val="22"/>
          <w:szCs w:val="22"/>
        </w:rPr>
        <w:t>ander</w:t>
      </w:r>
      <w:r w:rsidR="00407499">
        <w:rPr>
          <w:rFonts w:ascii="Arial" w:hAnsi="Arial" w:cs="Arial"/>
          <w:sz w:val="22"/>
          <w:szCs w:val="22"/>
        </w:rPr>
        <w:t xml:space="preserve"> impliceert </w:t>
      </w:r>
      <w:r w:rsidR="005F3663">
        <w:rPr>
          <w:rFonts w:ascii="Arial" w:hAnsi="Arial" w:cs="Arial"/>
          <w:sz w:val="22"/>
          <w:szCs w:val="22"/>
        </w:rPr>
        <w:t xml:space="preserve">in dit verband </w:t>
      </w:r>
      <w:r w:rsidR="00407499">
        <w:rPr>
          <w:rFonts w:ascii="Arial" w:hAnsi="Arial" w:cs="Arial"/>
          <w:sz w:val="22"/>
          <w:szCs w:val="22"/>
        </w:rPr>
        <w:t xml:space="preserve">nog geen </w:t>
      </w:r>
      <w:proofErr w:type="spellStart"/>
      <w:r w:rsidR="00407499">
        <w:rPr>
          <w:rFonts w:ascii="Arial" w:hAnsi="Arial" w:cs="Arial"/>
          <w:sz w:val="22"/>
          <w:szCs w:val="22"/>
        </w:rPr>
        <w:t>fonogrammenproducentschap</w:t>
      </w:r>
      <w:proofErr w:type="spellEnd"/>
      <w:r w:rsidR="000747AA">
        <w:rPr>
          <w:rFonts w:ascii="Arial" w:hAnsi="Arial" w:cs="Arial"/>
          <w:sz w:val="22"/>
          <w:szCs w:val="22"/>
        </w:rPr>
        <w:t>.</w:t>
      </w:r>
      <w:r w:rsidR="00274109">
        <w:rPr>
          <w:rStyle w:val="Voetnootmarkering"/>
          <w:rFonts w:ascii="Arial" w:hAnsi="Arial" w:cs="Arial"/>
          <w:sz w:val="22"/>
          <w:szCs w:val="22"/>
        </w:rPr>
        <w:footnoteReference w:id="18"/>
      </w:r>
      <w:r w:rsidR="003A6DAE">
        <w:rPr>
          <w:rFonts w:ascii="Arial" w:hAnsi="Arial" w:cs="Arial"/>
          <w:sz w:val="22"/>
          <w:szCs w:val="22"/>
        </w:rPr>
        <w:t xml:space="preserve"> </w:t>
      </w:r>
      <w:r w:rsidR="00407499">
        <w:rPr>
          <w:rFonts w:ascii="Arial" w:hAnsi="Arial" w:cs="Arial"/>
          <w:sz w:val="22"/>
          <w:szCs w:val="22"/>
        </w:rPr>
        <w:t xml:space="preserve"> </w:t>
      </w:r>
    </w:p>
    <w:p w14:paraId="25C50E14" w14:textId="77777777" w:rsidR="00313174" w:rsidRDefault="00313174" w:rsidP="006F25CF">
      <w:pPr>
        <w:spacing w:line="300" w:lineRule="auto"/>
        <w:jc w:val="both"/>
        <w:rPr>
          <w:rFonts w:ascii="Arial" w:hAnsi="Arial" w:cs="Arial"/>
          <w:sz w:val="22"/>
          <w:szCs w:val="22"/>
        </w:rPr>
      </w:pPr>
    </w:p>
    <w:p w14:paraId="78C8D589" w14:textId="0C00BDB7" w:rsidR="00F068D8" w:rsidRDefault="004B0095" w:rsidP="006F25CF">
      <w:pPr>
        <w:spacing w:line="300" w:lineRule="auto"/>
        <w:jc w:val="both"/>
        <w:rPr>
          <w:rFonts w:ascii="Arial" w:hAnsi="Arial" w:cs="Arial"/>
          <w:sz w:val="22"/>
          <w:szCs w:val="22"/>
        </w:rPr>
      </w:pPr>
      <w:r>
        <w:rPr>
          <w:rFonts w:ascii="Arial" w:hAnsi="Arial" w:cs="Arial"/>
          <w:sz w:val="22"/>
          <w:szCs w:val="22"/>
        </w:rPr>
        <w:t xml:space="preserve">In navolging van de Rechtbank neemt het Hof de versies van de opnamen tot uitgangspunt </w:t>
      </w:r>
      <w:r w:rsidR="00E52DD8">
        <w:rPr>
          <w:rFonts w:ascii="Arial" w:hAnsi="Arial" w:cs="Arial"/>
          <w:sz w:val="22"/>
          <w:szCs w:val="22"/>
        </w:rPr>
        <w:t>die</w:t>
      </w:r>
      <w:r>
        <w:rPr>
          <w:rFonts w:ascii="Arial" w:hAnsi="Arial" w:cs="Arial"/>
          <w:sz w:val="22"/>
          <w:szCs w:val="22"/>
        </w:rPr>
        <w:t xml:space="preserve"> destijds </w:t>
      </w:r>
      <w:r w:rsidR="006359F5">
        <w:rPr>
          <w:rFonts w:ascii="Arial" w:hAnsi="Arial" w:cs="Arial"/>
          <w:sz w:val="22"/>
          <w:szCs w:val="22"/>
        </w:rPr>
        <w:t xml:space="preserve">feitelijk </w:t>
      </w:r>
      <w:r>
        <w:rPr>
          <w:rFonts w:ascii="Arial" w:hAnsi="Arial" w:cs="Arial"/>
          <w:sz w:val="22"/>
          <w:szCs w:val="22"/>
        </w:rPr>
        <w:t xml:space="preserve">door </w:t>
      </w:r>
      <w:proofErr w:type="spellStart"/>
      <w:r>
        <w:rPr>
          <w:rFonts w:ascii="Arial" w:hAnsi="Arial" w:cs="Arial"/>
          <w:sz w:val="22"/>
          <w:szCs w:val="22"/>
        </w:rPr>
        <w:t>Garrix</w:t>
      </w:r>
      <w:proofErr w:type="spellEnd"/>
      <w:r>
        <w:rPr>
          <w:rFonts w:ascii="Arial" w:hAnsi="Arial" w:cs="Arial"/>
          <w:sz w:val="22"/>
          <w:szCs w:val="22"/>
        </w:rPr>
        <w:t xml:space="preserve"> aan </w:t>
      </w:r>
      <w:proofErr w:type="spellStart"/>
      <w:r>
        <w:rPr>
          <w:rFonts w:ascii="Arial" w:hAnsi="Arial" w:cs="Arial"/>
          <w:sz w:val="22"/>
          <w:szCs w:val="22"/>
        </w:rPr>
        <w:t>Spinnin</w:t>
      </w:r>
      <w:proofErr w:type="spellEnd"/>
      <w:r>
        <w:rPr>
          <w:rFonts w:ascii="Arial" w:hAnsi="Arial" w:cs="Arial"/>
          <w:sz w:val="22"/>
          <w:szCs w:val="22"/>
        </w:rPr>
        <w:t>’ Records</w:t>
      </w:r>
      <w:r w:rsidR="006359F5">
        <w:rPr>
          <w:rFonts w:ascii="Arial" w:hAnsi="Arial" w:cs="Arial"/>
          <w:sz w:val="22"/>
          <w:szCs w:val="22"/>
        </w:rPr>
        <w:t xml:space="preserve"> zijn</w:t>
      </w:r>
      <w:r w:rsidR="00513B06">
        <w:rPr>
          <w:rFonts w:ascii="Arial" w:hAnsi="Arial" w:cs="Arial"/>
          <w:sz w:val="22"/>
          <w:szCs w:val="22"/>
        </w:rPr>
        <w:t xml:space="preserve"> </w:t>
      </w:r>
      <w:r w:rsidR="006359F5">
        <w:rPr>
          <w:rFonts w:ascii="Arial" w:hAnsi="Arial" w:cs="Arial"/>
          <w:sz w:val="22"/>
          <w:szCs w:val="22"/>
        </w:rPr>
        <w:t>geleverd</w:t>
      </w:r>
      <w:r w:rsidR="00011DDD">
        <w:rPr>
          <w:rFonts w:ascii="Arial" w:hAnsi="Arial" w:cs="Arial"/>
          <w:sz w:val="22"/>
          <w:szCs w:val="22"/>
        </w:rPr>
        <w:t>, en niet</w:t>
      </w:r>
      <w:r w:rsidR="00747FC8">
        <w:rPr>
          <w:rFonts w:ascii="Arial" w:hAnsi="Arial" w:cs="Arial"/>
          <w:sz w:val="22"/>
          <w:szCs w:val="22"/>
        </w:rPr>
        <w:t>,</w:t>
      </w:r>
      <w:r w:rsidR="00011DDD">
        <w:rPr>
          <w:rFonts w:ascii="Arial" w:hAnsi="Arial" w:cs="Arial"/>
          <w:sz w:val="22"/>
          <w:szCs w:val="22"/>
        </w:rPr>
        <w:t xml:space="preserve"> </w:t>
      </w:r>
      <w:r w:rsidR="003A6DAE">
        <w:rPr>
          <w:rFonts w:ascii="Arial" w:hAnsi="Arial" w:cs="Arial"/>
          <w:sz w:val="22"/>
          <w:szCs w:val="22"/>
        </w:rPr>
        <w:t xml:space="preserve">zoals </w:t>
      </w:r>
      <w:proofErr w:type="spellStart"/>
      <w:r w:rsidR="003A6DAE">
        <w:rPr>
          <w:rFonts w:ascii="Arial" w:hAnsi="Arial" w:cs="Arial"/>
          <w:sz w:val="22"/>
          <w:szCs w:val="22"/>
        </w:rPr>
        <w:t>Spinnin</w:t>
      </w:r>
      <w:proofErr w:type="spellEnd"/>
      <w:r w:rsidR="003A6DAE">
        <w:rPr>
          <w:rFonts w:ascii="Arial" w:hAnsi="Arial" w:cs="Arial"/>
          <w:sz w:val="22"/>
          <w:szCs w:val="22"/>
        </w:rPr>
        <w:t>’ Records had betoogd</w:t>
      </w:r>
      <w:r w:rsidR="00747FC8">
        <w:rPr>
          <w:rFonts w:ascii="Arial" w:hAnsi="Arial" w:cs="Arial"/>
          <w:sz w:val="22"/>
          <w:szCs w:val="22"/>
        </w:rPr>
        <w:t>,</w:t>
      </w:r>
      <w:r w:rsidR="003A6DAE">
        <w:rPr>
          <w:rFonts w:ascii="Arial" w:hAnsi="Arial" w:cs="Arial"/>
          <w:sz w:val="22"/>
          <w:szCs w:val="22"/>
        </w:rPr>
        <w:t xml:space="preserve"> de geëxploiteerde versies</w:t>
      </w:r>
      <w:r w:rsidR="006359F5">
        <w:rPr>
          <w:rFonts w:ascii="Arial" w:hAnsi="Arial" w:cs="Arial"/>
          <w:sz w:val="22"/>
          <w:szCs w:val="22"/>
        </w:rPr>
        <w:t>.</w:t>
      </w:r>
      <w:r w:rsidR="005F5ED5">
        <w:rPr>
          <w:rFonts w:ascii="Arial" w:hAnsi="Arial" w:cs="Arial"/>
          <w:sz w:val="22"/>
          <w:szCs w:val="22"/>
        </w:rPr>
        <w:t xml:space="preserve"> </w:t>
      </w:r>
      <w:r w:rsidR="00C9397B">
        <w:rPr>
          <w:rFonts w:ascii="Arial" w:hAnsi="Arial" w:cs="Arial"/>
          <w:sz w:val="22"/>
          <w:szCs w:val="22"/>
        </w:rPr>
        <w:t>Opvolgende versies van de</w:t>
      </w:r>
      <w:r w:rsidR="003A6DAE">
        <w:rPr>
          <w:rFonts w:ascii="Arial" w:hAnsi="Arial" w:cs="Arial"/>
          <w:sz w:val="22"/>
          <w:szCs w:val="22"/>
        </w:rPr>
        <w:t xml:space="preserve"> eerste</w:t>
      </w:r>
      <w:r w:rsidR="00C9397B">
        <w:rPr>
          <w:rFonts w:ascii="Arial" w:hAnsi="Arial" w:cs="Arial"/>
          <w:sz w:val="22"/>
          <w:szCs w:val="22"/>
        </w:rPr>
        <w:t xml:space="preserve"> opnamen zijn volgens het Hof niet aan te merken als eerste opname in de zin van het naburige recht</w:t>
      </w:r>
      <w:r w:rsidR="000747AA">
        <w:rPr>
          <w:rFonts w:ascii="Arial" w:hAnsi="Arial" w:cs="Arial"/>
          <w:sz w:val="22"/>
          <w:szCs w:val="22"/>
        </w:rPr>
        <w:t>.</w:t>
      </w:r>
      <w:r w:rsidR="00402F9F">
        <w:rPr>
          <w:rStyle w:val="Voetnootmarkering"/>
          <w:rFonts w:ascii="Arial" w:hAnsi="Arial" w:cs="Arial"/>
          <w:sz w:val="22"/>
          <w:szCs w:val="22"/>
        </w:rPr>
        <w:footnoteReference w:id="19"/>
      </w:r>
      <w:r w:rsidR="00C9397B">
        <w:rPr>
          <w:rFonts w:ascii="Arial" w:hAnsi="Arial" w:cs="Arial"/>
          <w:sz w:val="22"/>
          <w:szCs w:val="22"/>
        </w:rPr>
        <w:t xml:space="preserve"> Een fonogram in de zin van </w:t>
      </w:r>
      <w:r w:rsidR="00AA7FB3">
        <w:rPr>
          <w:rFonts w:ascii="Arial" w:hAnsi="Arial" w:cs="Arial"/>
          <w:sz w:val="22"/>
          <w:szCs w:val="22"/>
        </w:rPr>
        <w:t xml:space="preserve">artikel 1c </w:t>
      </w:r>
      <w:proofErr w:type="spellStart"/>
      <w:r w:rsidR="00C9397B">
        <w:rPr>
          <w:rFonts w:ascii="Arial" w:hAnsi="Arial" w:cs="Arial"/>
          <w:sz w:val="22"/>
          <w:szCs w:val="22"/>
        </w:rPr>
        <w:t>Wnr</w:t>
      </w:r>
      <w:proofErr w:type="spellEnd"/>
      <w:r w:rsidR="00C9397B">
        <w:rPr>
          <w:rFonts w:ascii="Arial" w:hAnsi="Arial" w:cs="Arial"/>
          <w:sz w:val="22"/>
          <w:szCs w:val="22"/>
        </w:rPr>
        <w:t xml:space="preserve"> is weliswaar iedere geluidsopname, maar producent van een fonogram </w:t>
      </w:r>
      <w:r w:rsidR="00AA7FB3">
        <w:rPr>
          <w:rFonts w:ascii="Arial" w:hAnsi="Arial" w:cs="Arial"/>
          <w:sz w:val="22"/>
          <w:szCs w:val="22"/>
        </w:rPr>
        <w:t xml:space="preserve">in de zin van artikel 1d </w:t>
      </w:r>
      <w:proofErr w:type="spellStart"/>
      <w:r w:rsidR="00AA7FB3">
        <w:rPr>
          <w:rFonts w:ascii="Arial" w:hAnsi="Arial" w:cs="Arial"/>
          <w:sz w:val="22"/>
          <w:szCs w:val="22"/>
        </w:rPr>
        <w:t>Wnr</w:t>
      </w:r>
      <w:proofErr w:type="spellEnd"/>
      <w:r w:rsidR="00AA7FB3">
        <w:rPr>
          <w:rFonts w:ascii="Arial" w:hAnsi="Arial" w:cs="Arial"/>
          <w:sz w:val="22"/>
          <w:szCs w:val="22"/>
        </w:rPr>
        <w:t xml:space="preserve"> </w:t>
      </w:r>
      <w:r w:rsidR="00C9397B">
        <w:rPr>
          <w:rFonts w:ascii="Arial" w:hAnsi="Arial" w:cs="Arial"/>
          <w:sz w:val="22"/>
          <w:szCs w:val="22"/>
        </w:rPr>
        <w:t>is degene die een dergelijk fonogram voor de eerste maal vervaardigt of laat vervaardigen.</w:t>
      </w:r>
      <w:r w:rsidR="00786387">
        <w:rPr>
          <w:rFonts w:ascii="Arial" w:hAnsi="Arial" w:cs="Arial"/>
          <w:sz w:val="22"/>
          <w:szCs w:val="22"/>
        </w:rPr>
        <w:t xml:space="preserve"> </w:t>
      </w:r>
      <w:r w:rsidR="00AA7FB3">
        <w:rPr>
          <w:rFonts w:ascii="Arial" w:hAnsi="Arial" w:cs="Arial"/>
          <w:sz w:val="22"/>
          <w:szCs w:val="22"/>
        </w:rPr>
        <w:t xml:space="preserve">Ook het opnemen in de zin van artikel 1b </w:t>
      </w:r>
      <w:proofErr w:type="spellStart"/>
      <w:r w:rsidR="00AA7FB3">
        <w:rPr>
          <w:rFonts w:ascii="Arial" w:hAnsi="Arial" w:cs="Arial"/>
          <w:sz w:val="22"/>
          <w:szCs w:val="22"/>
        </w:rPr>
        <w:t>Wnr</w:t>
      </w:r>
      <w:proofErr w:type="spellEnd"/>
      <w:r w:rsidR="00AA7FB3">
        <w:rPr>
          <w:rFonts w:ascii="Arial" w:hAnsi="Arial" w:cs="Arial"/>
          <w:sz w:val="22"/>
          <w:szCs w:val="22"/>
        </w:rPr>
        <w:t xml:space="preserve"> </w:t>
      </w:r>
      <w:r w:rsidR="00E52DD8">
        <w:rPr>
          <w:rFonts w:ascii="Arial" w:hAnsi="Arial" w:cs="Arial"/>
          <w:sz w:val="22"/>
          <w:szCs w:val="22"/>
        </w:rPr>
        <w:t>betre</w:t>
      </w:r>
      <w:r w:rsidR="008B0B55">
        <w:rPr>
          <w:rFonts w:ascii="Arial" w:hAnsi="Arial" w:cs="Arial"/>
          <w:sz w:val="22"/>
          <w:szCs w:val="22"/>
        </w:rPr>
        <w:t>f</w:t>
      </w:r>
      <w:r w:rsidR="00E52DD8">
        <w:rPr>
          <w:rFonts w:ascii="Arial" w:hAnsi="Arial" w:cs="Arial"/>
          <w:sz w:val="22"/>
          <w:szCs w:val="22"/>
        </w:rPr>
        <w:t>t</w:t>
      </w:r>
      <w:r w:rsidR="00AA7FB3">
        <w:rPr>
          <w:rFonts w:ascii="Arial" w:hAnsi="Arial" w:cs="Arial"/>
          <w:sz w:val="22"/>
          <w:szCs w:val="22"/>
        </w:rPr>
        <w:t xml:space="preserve"> het voor de eerste maal vastleggen.</w:t>
      </w:r>
      <w:r w:rsidR="00F13E24">
        <w:rPr>
          <w:rFonts w:ascii="Arial" w:hAnsi="Arial" w:cs="Arial"/>
          <w:sz w:val="22"/>
          <w:szCs w:val="22"/>
        </w:rPr>
        <w:t xml:space="preserve"> </w:t>
      </w:r>
      <w:r w:rsidR="00C9397B">
        <w:rPr>
          <w:rFonts w:ascii="Arial" w:hAnsi="Arial" w:cs="Arial"/>
          <w:sz w:val="22"/>
          <w:szCs w:val="22"/>
        </w:rPr>
        <w:t xml:space="preserve"> </w:t>
      </w:r>
      <w:r w:rsidR="005F5ED5">
        <w:rPr>
          <w:rFonts w:ascii="Arial" w:hAnsi="Arial" w:cs="Arial"/>
          <w:sz w:val="22"/>
          <w:szCs w:val="22"/>
        </w:rPr>
        <w:t xml:space="preserve">  </w:t>
      </w:r>
    </w:p>
    <w:p w14:paraId="15DCBD40" w14:textId="50550602" w:rsidR="00891645" w:rsidRDefault="00891645" w:rsidP="006F25CF">
      <w:pPr>
        <w:spacing w:line="300" w:lineRule="auto"/>
        <w:jc w:val="both"/>
        <w:rPr>
          <w:rFonts w:ascii="Arial" w:hAnsi="Arial" w:cs="Arial"/>
          <w:sz w:val="22"/>
          <w:szCs w:val="22"/>
        </w:rPr>
      </w:pPr>
    </w:p>
    <w:p w14:paraId="30DF4147" w14:textId="6984A4C7" w:rsidR="00AB1BB0" w:rsidRDefault="00747FC8" w:rsidP="006F25CF">
      <w:pPr>
        <w:spacing w:line="300" w:lineRule="auto"/>
        <w:jc w:val="both"/>
        <w:rPr>
          <w:rFonts w:ascii="Arial" w:hAnsi="Arial" w:cs="Arial"/>
          <w:sz w:val="22"/>
          <w:szCs w:val="22"/>
        </w:rPr>
      </w:pPr>
      <w:r>
        <w:rPr>
          <w:rFonts w:ascii="Arial" w:hAnsi="Arial" w:cs="Arial"/>
          <w:sz w:val="22"/>
          <w:szCs w:val="22"/>
        </w:rPr>
        <w:t>H</w:t>
      </w:r>
      <w:r w:rsidR="00891645">
        <w:rPr>
          <w:rFonts w:ascii="Arial" w:hAnsi="Arial" w:cs="Arial"/>
          <w:sz w:val="22"/>
          <w:szCs w:val="22"/>
        </w:rPr>
        <w:t xml:space="preserve">et Hof </w:t>
      </w:r>
      <w:r>
        <w:rPr>
          <w:rFonts w:ascii="Arial" w:hAnsi="Arial" w:cs="Arial"/>
          <w:sz w:val="22"/>
          <w:szCs w:val="22"/>
        </w:rPr>
        <w:t xml:space="preserve">bevestigt </w:t>
      </w:r>
      <w:r w:rsidR="00617E37">
        <w:rPr>
          <w:rFonts w:ascii="Arial" w:hAnsi="Arial" w:cs="Arial"/>
          <w:sz w:val="22"/>
          <w:szCs w:val="22"/>
        </w:rPr>
        <w:t xml:space="preserve">de overweging van de Rechtbank dat </w:t>
      </w:r>
      <w:r>
        <w:rPr>
          <w:rFonts w:ascii="Arial" w:hAnsi="Arial" w:cs="Arial"/>
          <w:sz w:val="22"/>
          <w:szCs w:val="22"/>
        </w:rPr>
        <w:t xml:space="preserve">alle </w:t>
      </w:r>
      <w:r w:rsidR="00617E37">
        <w:rPr>
          <w:rFonts w:ascii="Arial" w:hAnsi="Arial" w:cs="Arial"/>
          <w:sz w:val="22"/>
          <w:szCs w:val="22"/>
        </w:rPr>
        <w:t xml:space="preserve">andere kosten die verband houden met de totstandkoming, promotie en exploitatie van muziek in beginsel niet relevant zijn voor de kwalificatie </w:t>
      </w:r>
      <w:r>
        <w:rPr>
          <w:rFonts w:ascii="Arial" w:hAnsi="Arial" w:cs="Arial"/>
          <w:sz w:val="22"/>
          <w:szCs w:val="22"/>
        </w:rPr>
        <w:t>als</w:t>
      </w:r>
      <w:r w:rsidR="00617E37">
        <w:rPr>
          <w:rFonts w:ascii="Arial" w:hAnsi="Arial" w:cs="Arial"/>
          <w:sz w:val="22"/>
          <w:szCs w:val="22"/>
        </w:rPr>
        <w:t xml:space="preserve"> fonogrammenproducent</w:t>
      </w:r>
      <w:r w:rsidR="00891645">
        <w:rPr>
          <w:rFonts w:ascii="Arial" w:hAnsi="Arial" w:cs="Arial"/>
          <w:sz w:val="22"/>
          <w:szCs w:val="22"/>
        </w:rPr>
        <w:t xml:space="preserve">. </w:t>
      </w:r>
      <w:r w:rsidR="00617E37">
        <w:rPr>
          <w:rFonts w:ascii="Arial" w:hAnsi="Arial" w:cs="Arial"/>
          <w:sz w:val="22"/>
          <w:szCs w:val="22"/>
        </w:rPr>
        <w:t>D</w:t>
      </w:r>
      <w:r w:rsidR="00891645">
        <w:rPr>
          <w:rFonts w:ascii="Arial" w:hAnsi="Arial" w:cs="Arial"/>
          <w:sz w:val="22"/>
          <w:szCs w:val="22"/>
        </w:rPr>
        <w:t xml:space="preserve">e partij die in de eerste vastlegging van een opname investeert, </w:t>
      </w:r>
      <w:r w:rsidR="00617E37">
        <w:rPr>
          <w:rFonts w:ascii="Arial" w:hAnsi="Arial" w:cs="Arial"/>
          <w:sz w:val="22"/>
          <w:szCs w:val="22"/>
        </w:rPr>
        <w:t xml:space="preserve">is </w:t>
      </w:r>
      <w:r w:rsidR="00891645">
        <w:rPr>
          <w:rFonts w:ascii="Arial" w:hAnsi="Arial" w:cs="Arial"/>
          <w:sz w:val="22"/>
          <w:szCs w:val="22"/>
        </w:rPr>
        <w:t xml:space="preserve">zijn </w:t>
      </w:r>
      <w:r>
        <w:rPr>
          <w:rFonts w:ascii="Arial" w:hAnsi="Arial" w:cs="Arial"/>
          <w:sz w:val="22"/>
          <w:szCs w:val="22"/>
        </w:rPr>
        <w:t>investering</w:t>
      </w:r>
      <w:r w:rsidR="00891645">
        <w:rPr>
          <w:rFonts w:ascii="Arial" w:hAnsi="Arial" w:cs="Arial"/>
          <w:sz w:val="22"/>
          <w:szCs w:val="22"/>
        </w:rPr>
        <w:t xml:space="preserve"> kwijt als die opname geen succes wordt of niet tot verdere exploitatie </w:t>
      </w:r>
      <w:r>
        <w:rPr>
          <w:rFonts w:ascii="Arial" w:hAnsi="Arial" w:cs="Arial"/>
          <w:sz w:val="22"/>
          <w:szCs w:val="22"/>
        </w:rPr>
        <w:t xml:space="preserve">wordt </w:t>
      </w:r>
      <w:r w:rsidR="00891645">
        <w:rPr>
          <w:rFonts w:ascii="Arial" w:hAnsi="Arial" w:cs="Arial"/>
          <w:sz w:val="22"/>
          <w:szCs w:val="22"/>
        </w:rPr>
        <w:t xml:space="preserve">overgaan. </w:t>
      </w:r>
      <w:r w:rsidR="00AD779F">
        <w:rPr>
          <w:rFonts w:ascii="Arial" w:hAnsi="Arial" w:cs="Arial"/>
          <w:sz w:val="22"/>
          <w:szCs w:val="22"/>
        </w:rPr>
        <w:t xml:space="preserve">Aan de voor de kwalificatie </w:t>
      </w:r>
      <w:r>
        <w:rPr>
          <w:rFonts w:ascii="Arial" w:hAnsi="Arial" w:cs="Arial"/>
          <w:sz w:val="22"/>
          <w:szCs w:val="22"/>
        </w:rPr>
        <w:t>als</w:t>
      </w:r>
      <w:r w:rsidR="00AD779F">
        <w:rPr>
          <w:rFonts w:ascii="Arial" w:hAnsi="Arial" w:cs="Arial"/>
          <w:sz w:val="22"/>
          <w:szCs w:val="22"/>
        </w:rPr>
        <w:t xml:space="preserve"> fonogrammenproducent relevante kosten wordt </w:t>
      </w:r>
      <w:r>
        <w:rPr>
          <w:rFonts w:ascii="Arial" w:hAnsi="Arial" w:cs="Arial"/>
          <w:sz w:val="22"/>
          <w:szCs w:val="22"/>
        </w:rPr>
        <w:t>geen</w:t>
      </w:r>
      <w:r w:rsidR="00AD779F">
        <w:rPr>
          <w:rFonts w:ascii="Arial" w:hAnsi="Arial" w:cs="Arial"/>
          <w:sz w:val="22"/>
          <w:szCs w:val="22"/>
        </w:rPr>
        <w:t xml:space="preserve"> minimum gesteld. </w:t>
      </w:r>
      <w:r>
        <w:rPr>
          <w:rFonts w:ascii="Arial" w:hAnsi="Arial" w:cs="Arial"/>
          <w:sz w:val="22"/>
          <w:szCs w:val="22"/>
        </w:rPr>
        <w:t>De voortschrijdende opnametechniek maakt dat tegenwoordig geen dure studio meer nodig is om (zelf) muziek te produceren. Daarnaast kan p</w:t>
      </w:r>
      <w:r w:rsidR="00AD779F">
        <w:rPr>
          <w:rFonts w:ascii="Arial" w:hAnsi="Arial" w:cs="Arial"/>
          <w:sz w:val="22"/>
          <w:szCs w:val="22"/>
        </w:rPr>
        <w:t>raktisch ieder fonogram bij SENA worden aangemeld</w:t>
      </w:r>
      <w:r>
        <w:rPr>
          <w:rFonts w:ascii="Arial" w:hAnsi="Arial" w:cs="Arial"/>
          <w:sz w:val="22"/>
          <w:szCs w:val="22"/>
        </w:rPr>
        <w:t xml:space="preserve">, ongeacht de hoogte van de </w:t>
      </w:r>
      <w:r>
        <w:rPr>
          <w:rFonts w:ascii="Arial" w:hAnsi="Arial" w:cs="Arial"/>
          <w:sz w:val="22"/>
          <w:szCs w:val="22"/>
        </w:rPr>
        <w:lastRenderedPageBreak/>
        <w:t>investeringen.</w:t>
      </w:r>
      <w:r w:rsidR="000B0FCD">
        <w:rPr>
          <w:rFonts w:ascii="Arial" w:hAnsi="Arial" w:cs="Arial"/>
          <w:sz w:val="22"/>
          <w:szCs w:val="22"/>
        </w:rPr>
        <w:t xml:space="preserve"> </w:t>
      </w:r>
      <w:r w:rsidR="003B5C90">
        <w:rPr>
          <w:rFonts w:ascii="Arial" w:hAnsi="Arial" w:cs="Arial"/>
          <w:sz w:val="22"/>
          <w:szCs w:val="22"/>
        </w:rPr>
        <w:t>Voor zover de naburige rechten van de fonogrammenproducent</w:t>
      </w:r>
      <w:r w:rsidR="002B3CCA">
        <w:rPr>
          <w:rFonts w:ascii="Arial" w:hAnsi="Arial" w:cs="Arial"/>
          <w:sz w:val="22"/>
          <w:szCs w:val="22"/>
        </w:rPr>
        <w:t xml:space="preserve"> </w:t>
      </w:r>
      <w:r w:rsidR="003B5C90">
        <w:rPr>
          <w:rFonts w:ascii="Arial" w:hAnsi="Arial" w:cs="Arial"/>
          <w:sz w:val="22"/>
          <w:szCs w:val="22"/>
        </w:rPr>
        <w:t xml:space="preserve">zijn bedoeld om de </w:t>
      </w:r>
      <w:r w:rsidR="00AB1BB0">
        <w:rPr>
          <w:rFonts w:ascii="Arial" w:hAnsi="Arial" w:cs="Arial"/>
          <w:sz w:val="22"/>
          <w:szCs w:val="22"/>
        </w:rPr>
        <w:t>aanzienlijke</w:t>
      </w:r>
      <w:r w:rsidR="003B5C90">
        <w:rPr>
          <w:rFonts w:ascii="Arial" w:hAnsi="Arial" w:cs="Arial"/>
          <w:sz w:val="22"/>
          <w:szCs w:val="22"/>
        </w:rPr>
        <w:t xml:space="preserve"> </w:t>
      </w:r>
      <w:r w:rsidR="004A72A4">
        <w:rPr>
          <w:rFonts w:ascii="Arial" w:hAnsi="Arial" w:cs="Arial"/>
          <w:sz w:val="22"/>
          <w:szCs w:val="22"/>
        </w:rPr>
        <w:t xml:space="preserve">‘technologische’ </w:t>
      </w:r>
      <w:r w:rsidR="003B5C90">
        <w:rPr>
          <w:rFonts w:ascii="Arial" w:hAnsi="Arial" w:cs="Arial"/>
          <w:sz w:val="22"/>
          <w:szCs w:val="22"/>
        </w:rPr>
        <w:t>investeringen in het vervaardigen van opnamen te kunnen terugverdienen, kan men zich afvragen of het naburige recht van de fonogrammenproducent nog bestaansrecht heeft</w:t>
      </w:r>
      <w:r w:rsidR="000747AA">
        <w:rPr>
          <w:rFonts w:ascii="Arial" w:hAnsi="Arial" w:cs="Arial"/>
          <w:sz w:val="22"/>
          <w:szCs w:val="22"/>
        </w:rPr>
        <w:t>.</w:t>
      </w:r>
      <w:r w:rsidR="00AB1BB0">
        <w:rPr>
          <w:rStyle w:val="Voetnootmarkering"/>
          <w:rFonts w:ascii="Arial" w:hAnsi="Arial" w:cs="Arial"/>
          <w:sz w:val="22"/>
          <w:szCs w:val="22"/>
        </w:rPr>
        <w:footnoteReference w:id="20"/>
      </w:r>
      <w:r w:rsidR="003B5C90">
        <w:rPr>
          <w:rFonts w:ascii="Arial" w:hAnsi="Arial" w:cs="Arial"/>
          <w:sz w:val="22"/>
          <w:szCs w:val="22"/>
        </w:rPr>
        <w:t xml:space="preserve"> Ik </w:t>
      </w:r>
      <w:r w:rsidR="004F4B36">
        <w:rPr>
          <w:rFonts w:ascii="Arial" w:hAnsi="Arial" w:cs="Arial"/>
          <w:sz w:val="22"/>
          <w:szCs w:val="22"/>
        </w:rPr>
        <w:t xml:space="preserve">zou willen pleiten voor een kwalitatieve benadering waarbij de </w:t>
      </w:r>
      <w:r w:rsidR="00405677">
        <w:rPr>
          <w:rFonts w:ascii="Arial" w:hAnsi="Arial" w:cs="Arial"/>
          <w:sz w:val="22"/>
          <w:szCs w:val="22"/>
        </w:rPr>
        <w:t xml:space="preserve">aard en </w:t>
      </w:r>
      <w:r w:rsidR="003B5C90">
        <w:rPr>
          <w:rFonts w:ascii="Arial" w:hAnsi="Arial" w:cs="Arial"/>
          <w:sz w:val="22"/>
          <w:szCs w:val="22"/>
        </w:rPr>
        <w:t>omvang van de investeringen</w:t>
      </w:r>
      <w:r w:rsidR="004F4B36">
        <w:rPr>
          <w:rFonts w:ascii="Arial" w:hAnsi="Arial" w:cs="Arial"/>
          <w:sz w:val="22"/>
          <w:szCs w:val="22"/>
        </w:rPr>
        <w:t xml:space="preserve"> </w:t>
      </w:r>
      <w:r w:rsidR="004A72A4">
        <w:rPr>
          <w:rFonts w:ascii="Arial" w:hAnsi="Arial" w:cs="Arial"/>
          <w:sz w:val="22"/>
          <w:szCs w:val="22"/>
        </w:rPr>
        <w:t>centraal staan. W</w:t>
      </w:r>
      <w:r w:rsidR="004F4B36">
        <w:rPr>
          <w:rFonts w:ascii="Arial" w:hAnsi="Arial" w:cs="Arial"/>
          <w:sz w:val="22"/>
          <w:szCs w:val="22"/>
        </w:rPr>
        <w:t xml:space="preserve">at voor een platenmaatschappij een geringe investering is, kan </w:t>
      </w:r>
      <w:r w:rsidR="00CA225D">
        <w:rPr>
          <w:rFonts w:ascii="Arial" w:hAnsi="Arial" w:cs="Arial"/>
          <w:sz w:val="22"/>
          <w:szCs w:val="22"/>
        </w:rPr>
        <w:t xml:space="preserve">immers </w:t>
      </w:r>
      <w:r w:rsidR="004F4B36">
        <w:rPr>
          <w:rFonts w:ascii="Arial" w:hAnsi="Arial" w:cs="Arial"/>
          <w:sz w:val="22"/>
          <w:szCs w:val="22"/>
        </w:rPr>
        <w:t>voor een zelfstandige producer een aanzienlijke investering zijn.</w:t>
      </w:r>
      <w:r w:rsidR="004A72A4">
        <w:rPr>
          <w:rFonts w:ascii="Arial" w:hAnsi="Arial" w:cs="Arial"/>
          <w:sz w:val="22"/>
          <w:szCs w:val="22"/>
        </w:rPr>
        <w:t xml:space="preserve"> </w:t>
      </w:r>
      <w:r w:rsidR="00C814B6">
        <w:rPr>
          <w:rFonts w:ascii="Arial" w:hAnsi="Arial" w:cs="Arial"/>
          <w:sz w:val="22"/>
          <w:szCs w:val="22"/>
        </w:rPr>
        <w:t>Het is noodzakelijk de mogelijkheid van een behoorlijk rendement voor de producent van fonogrammen te waarborgen om die</w:t>
      </w:r>
      <w:r w:rsidR="00AB1BB0">
        <w:rPr>
          <w:rFonts w:ascii="Arial" w:hAnsi="Arial" w:cs="Arial"/>
          <w:sz w:val="22"/>
          <w:szCs w:val="22"/>
        </w:rPr>
        <w:t xml:space="preserve"> </w:t>
      </w:r>
      <w:r w:rsidR="00C814B6">
        <w:rPr>
          <w:rFonts w:ascii="Arial" w:hAnsi="Arial" w:cs="Arial"/>
          <w:sz w:val="22"/>
          <w:szCs w:val="22"/>
        </w:rPr>
        <w:t xml:space="preserve">specifieke </w:t>
      </w:r>
      <w:r w:rsidR="00AB1BB0">
        <w:rPr>
          <w:rFonts w:ascii="Arial" w:hAnsi="Arial" w:cs="Arial"/>
          <w:sz w:val="22"/>
          <w:szCs w:val="22"/>
        </w:rPr>
        <w:t>investeringen</w:t>
      </w:r>
      <w:r w:rsidR="00C814B6">
        <w:rPr>
          <w:rFonts w:ascii="Arial" w:hAnsi="Arial" w:cs="Arial"/>
          <w:sz w:val="22"/>
          <w:szCs w:val="22"/>
        </w:rPr>
        <w:t xml:space="preserve"> – die hoog en riskant </w:t>
      </w:r>
      <w:r w:rsidR="00C814B6" w:rsidRPr="00C814B6">
        <w:rPr>
          <w:rFonts w:ascii="Arial" w:hAnsi="Arial" w:cs="Arial"/>
          <w:i/>
          <w:sz w:val="22"/>
          <w:szCs w:val="22"/>
        </w:rPr>
        <w:t>kunnen</w:t>
      </w:r>
      <w:r w:rsidR="00C814B6">
        <w:rPr>
          <w:rFonts w:ascii="Arial" w:hAnsi="Arial" w:cs="Arial"/>
          <w:sz w:val="22"/>
          <w:szCs w:val="22"/>
        </w:rPr>
        <w:t xml:space="preserve"> zijn - te kunnen terugverdienen</w:t>
      </w:r>
      <w:r w:rsidR="000747AA">
        <w:rPr>
          <w:rFonts w:ascii="Arial" w:hAnsi="Arial" w:cs="Arial"/>
          <w:sz w:val="22"/>
          <w:szCs w:val="22"/>
        </w:rPr>
        <w:t>.</w:t>
      </w:r>
      <w:r w:rsidR="00C814B6">
        <w:rPr>
          <w:rStyle w:val="Voetnootmarkering"/>
          <w:rFonts w:ascii="Arial" w:hAnsi="Arial" w:cs="Arial"/>
          <w:sz w:val="22"/>
          <w:szCs w:val="22"/>
        </w:rPr>
        <w:footnoteReference w:id="21"/>
      </w:r>
      <w:r w:rsidR="00AB1BB0">
        <w:rPr>
          <w:rFonts w:ascii="Arial" w:hAnsi="Arial" w:cs="Arial"/>
          <w:sz w:val="22"/>
          <w:szCs w:val="22"/>
        </w:rPr>
        <w:t xml:space="preserve"> </w:t>
      </w:r>
      <w:r w:rsidR="00CA225D">
        <w:rPr>
          <w:rFonts w:ascii="Arial" w:hAnsi="Arial" w:cs="Arial"/>
          <w:sz w:val="22"/>
          <w:szCs w:val="22"/>
        </w:rPr>
        <w:t>Dat geldt voor zowel platenmaatschappijen als zelfstandige producers.</w:t>
      </w:r>
    </w:p>
    <w:p w14:paraId="0CD626C8" w14:textId="77777777" w:rsidR="00ED28F7" w:rsidRDefault="00ED28F7" w:rsidP="006F25CF">
      <w:pPr>
        <w:spacing w:line="300" w:lineRule="auto"/>
        <w:jc w:val="both"/>
        <w:rPr>
          <w:rFonts w:ascii="Arial" w:hAnsi="Arial" w:cs="Arial"/>
          <w:sz w:val="22"/>
          <w:szCs w:val="22"/>
        </w:rPr>
      </w:pPr>
    </w:p>
    <w:p w14:paraId="58FCD0EA" w14:textId="71EE6309" w:rsidR="00DF5DF6" w:rsidRDefault="00ED28F7" w:rsidP="006F25CF">
      <w:pPr>
        <w:spacing w:line="300" w:lineRule="auto"/>
        <w:jc w:val="both"/>
        <w:rPr>
          <w:rFonts w:ascii="Arial" w:hAnsi="Arial" w:cs="Arial"/>
          <w:sz w:val="22"/>
          <w:szCs w:val="22"/>
        </w:rPr>
      </w:pPr>
      <w:r>
        <w:rPr>
          <w:rFonts w:ascii="Arial" w:hAnsi="Arial" w:cs="Arial"/>
          <w:sz w:val="22"/>
          <w:szCs w:val="22"/>
        </w:rPr>
        <w:t xml:space="preserve">Op basis van </w:t>
      </w:r>
      <w:r w:rsidR="00AE3D14">
        <w:rPr>
          <w:rFonts w:ascii="Arial" w:hAnsi="Arial" w:cs="Arial"/>
          <w:sz w:val="22"/>
          <w:szCs w:val="22"/>
        </w:rPr>
        <w:t xml:space="preserve">het </w:t>
      </w:r>
      <w:r>
        <w:rPr>
          <w:rFonts w:ascii="Arial" w:hAnsi="Arial" w:cs="Arial"/>
          <w:sz w:val="22"/>
          <w:szCs w:val="22"/>
        </w:rPr>
        <w:t xml:space="preserve">feitelijke </w:t>
      </w:r>
      <w:r w:rsidR="00AE3D14">
        <w:rPr>
          <w:rFonts w:ascii="Arial" w:hAnsi="Arial" w:cs="Arial"/>
          <w:sz w:val="22"/>
          <w:szCs w:val="22"/>
        </w:rPr>
        <w:t>opnameproces</w:t>
      </w:r>
      <w:r>
        <w:rPr>
          <w:rFonts w:ascii="Arial" w:hAnsi="Arial" w:cs="Arial"/>
          <w:sz w:val="22"/>
          <w:szCs w:val="22"/>
        </w:rPr>
        <w:t xml:space="preserve"> waar</w:t>
      </w:r>
      <w:r w:rsidR="00AE3D14">
        <w:rPr>
          <w:rFonts w:ascii="Arial" w:hAnsi="Arial" w:cs="Arial"/>
          <w:sz w:val="22"/>
          <w:szCs w:val="22"/>
        </w:rPr>
        <w:t>bij</w:t>
      </w:r>
      <w:r>
        <w:rPr>
          <w:rFonts w:ascii="Arial" w:hAnsi="Arial" w:cs="Arial"/>
          <w:sz w:val="22"/>
          <w:szCs w:val="22"/>
        </w:rPr>
        <w:t xml:space="preserve"> </w:t>
      </w:r>
      <w:proofErr w:type="spellStart"/>
      <w:r>
        <w:rPr>
          <w:rFonts w:ascii="Arial" w:hAnsi="Arial" w:cs="Arial"/>
          <w:sz w:val="22"/>
          <w:szCs w:val="22"/>
        </w:rPr>
        <w:t>Garrix</w:t>
      </w:r>
      <w:proofErr w:type="spellEnd"/>
      <w:r>
        <w:rPr>
          <w:rFonts w:ascii="Arial" w:hAnsi="Arial" w:cs="Arial"/>
          <w:sz w:val="22"/>
          <w:szCs w:val="22"/>
        </w:rPr>
        <w:t xml:space="preserve"> (de eerste versies van) zijn opnamen </w:t>
      </w:r>
      <w:r w:rsidR="00AE3D14">
        <w:rPr>
          <w:rFonts w:ascii="Arial" w:hAnsi="Arial" w:cs="Arial"/>
          <w:sz w:val="22"/>
          <w:szCs w:val="22"/>
        </w:rPr>
        <w:t xml:space="preserve">thuis op zijn eigen apparatuur en met zijn eigen instrumenten </w:t>
      </w:r>
      <w:r>
        <w:rPr>
          <w:rFonts w:ascii="Arial" w:hAnsi="Arial" w:cs="Arial"/>
          <w:sz w:val="22"/>
          <w:szCs w:val="22"/>
        </w:rPr>
        <w:t>produceerde</w:t>
      </w:r>
      <w:r w:rsidR="00AE3D14">
        <w:rPr>
          <w:rFonts w:ascii="Arial" w:hAnsi="Arial" w:cs="Arial"/>
          <w:sz w:val="22"/>
          <w:szCs w:val="22"/>
        </w:rPr>
        <w:t xml:space="preserve">, en </w:t>
      </w:r>
      <w:r w:rsidR="00A62DDC">
        <w:rPr>
          <w:rFonts w:ascii="Arial" w:hAnsi="Arial" w:cs="Arial"/>
          <w:sz w:val="22"/>
          <w:szCs w:val="22"/>
        </w:rPr>
        <w:t xml:space="preserve">het feit dat hij </w:t>
      </w:r>
      <w:r w:rsidR="00AE3D14">
        <w:rPr>
          <w:rFonts w:ascii="Arial" w:hAnsi="Arial" w:cs="Arial"/>
          <w:sz w:val="22"/>
          <w:szCs w:val="22"/>
        </w:rPr>
        <w:t xml:space="preserve">daarnaast ook nog zelf of op eigen kosten de </w:t>
      </w:r>
      <w:proofErr w:type="spellStart"/>
      <w:r w:rsidR="00AE3D14">
        <w:rPr>
          <w:rFonts w:ascii="Arial" w:hAnsi="Arial" w:cs="Arial"/>
          <w:sz w:val="22"/>
          <w:szCs w:val="22"/>
        </w:rPr>
        <w:t>mastering</w:t>
      </w:r>
      <w:proofErr w:type="spellEnd"/>
      <w:r w:rsidR="00AE3D14">
        <w:rPr>
          <w:rFonts w:ascii="Arial" w:hAnsi="Arial" w:cs="Arial"/>
          <w:sz w:val="22"/>
          <w:szCs w:val="22"/>
        </w:rPr>
        <w:t xml:space="preserve"> van de finale versies van de</w:t>
      </w:r>
      <w:r w:rsidR="00A62DDC">
        <w:rPr>
          <w:rFonts w:ascii="Arial" w:hAnsi="Arial" w:cs="Arial"/>
          <w:sz w:val="22"/>
          <w:szCs w:val="22"/>
        </w:rPr>
        <w:t>ze</w:t>
      </w:r>
      <w:r w:rsidR="00AE3D14">
        <w:rPr>
          <w:rFonts w:ascii="Arial" w:hAnsi="Arial" w:cs="Arial"/>
          <w:sz w:val="22"/>
          <w:szCs w:val="22"/>
        </w:rPr>
        <w:t xml:space="preserve"> opnamen verzorgde, komen</w:t>
      </w:r>
      <w:r>
        <w:rPr>
          <w:rFonts w:ascii="Arial" w:hAnsi="Arial" w:cs="Arial"/>
          <w:sz w:val="22"/>
          <w:szCs w:val="22"/>
        </w:rPr>
        <w:t xml:space="preserve"> </w:t>
      </w:r>
      <w:r w:rsidR="00AE3D14">
        <w:rPr>
          <w:rFonts w:ascii="Arial" w:hAnsi="Arial" w:cs="Arial"/>
          <w:sz w:val="22"/>
          <w:szCs w:val="22"/>
        </w:rPr>
        <w:t xml:space="preserve">Rechtbank en Hof tot de slotsom dat </w:t>
      </w:r>
      <w:proofErr w:type="spellStart"/>
      <w:r w:rsidR="00AE3D14">
        <w:rPr>
          <w:rFonts w:ascii="Arial" w:hAnsi="Arial" w:cs="Arial"/>
          <w:sz w:val="22"/>
          <w:szCs w:val="22"/>
        </w:rPr>
        <w:t>Garrix</w:t>
      </w:r>
      <w:proofErr w:type="spellEnd"/>
      <w:r w:rsidR="00AE3D14">
        <w:rPr>
          <w:rFonts w:ascii="Arial" w:hAnsi="Arial" w:cs="Arial"/>
          <w:sz w:val="22"/>
          <w:szCs w:val="22"/>
        </w:rPr>
        <w:t xml:space="preserve"> </w:t>
      </w:r>
      <w:r w:rsidR="004A73C5">
        <w:rPr>
          <w:rFonts w:ascii="Arial" w:hAnsi="Arial" w:cs="Arial"/>
          <w:sz w:val="22"/>
          <w:szCs w:val="22"/>
        </w:rPr>
        <w:t xml:space="preserve">- </w:t>
      </w:r>
      <w:r w:rsidR="00AE3D14">
        <w:rPr>
          <w:rFonts w:ascii="Arial" w:hAnsi="Arial" w:cs="Arial"/>
          <w:sz w:val="22"/>
          <w:szCs w:val="22"/>
        </w:rPr>
        <w:t xml:space="preserve">en niet </w:t>
      </w:r>
      <w:proofErr w:type="spellStart"/>
      <w:r w:rsidR="00AE3D14">
        <w:rPr>
          <w:rFonts w:ascii="Arial" w:hAnsi="Arial" w:cs="Arial"/>
          <w:sz w:val="22"/>
          <w:szCs w:val="22"/>
        </w:rPr>
        <w:t>Spinnin</w:t>
      </w:r>
      <w:proofErr w:type="spellEnd"/>
      <w:r w:rsidR="00AE3D14">
        <w:rPr>
          <w:rFonts w:ascii="Arial" w:hAnsi="Arial" w:cs="Arial"/>
          <w:sz w:val="22"/>
          <w:szCs w:val="22"/>
        </w:rPr>
        <w:t>’ Records</w:t>
      </w:r>
      <w:r w:rsidR="004A73C5">
        <w:rPr>
          <w:rFonts w:ascii="Arial" w:hAnsi="Arial" w:cs="Arial"/>
          <w:sz w:val="22"/>
          <w:szCs w:val="22"/>
        </w:rPr>
        <w:t xml:space="preserve"> -</w:t>
      </w:r>
      <w:r w:rsidR="00AE3D14">
        <w:rPr>
          <w:rFonts w:ascii="Arial" w:hAnsi="Arial" w:cs="Arial"/>
          <w:sz w:val="22"/>
          <w:szCs w:val="22"/>
        </w:rPr>
        <w:t xml:space="preserve"> de fonogrammenproducent van deze opnamen is.</w:t>
      </w:r>
      <w:r w:rsidR="00161557">
        <w:rPr>
          <w:rFonts w:ascii="Arial" w:hAnsi="Arial" w:cs="Arial"/>
          <w:sz w:val="22"/>
          <w:szCs w:val="22"/>
        </w:rPr>
        <w:t xml:space="preserve"> Dat in de tussen partijen gesloten productieovereenkomsten anders is bepaald, maakt</w:t>
      </w:r>
      <w:r w:rsidR="00B41DF3">
        <w:rPr>
          <w:rFonts w:ascii="Arial" w:hAnsi="Arial" w:cs="Arial"/>
          <w:sz w:val="22"/>
          <w:szCs w:val="22"/>
        </w:rPr>
        <w:t xml:space="preserve"> geen verschil</w:t>
      </w:r>
      <w:r w:rsidR="00161557">
        <w:rPr>
          <w:rFonts w:ascii="Arial" w:hAnsi="Arial" w:cs="Arial"/>
          <w:sz w:val="22"/>
          <w:szCs w:val="22"/>
        </w:rPr>
        <w:t>.</w:t>
      </w:r>
      <w:r>
        <w:rPr>
          <w:rFonts w:ascii="Arial" w:hAnsi="Arial" w:cs="Arial"/>
          <w:sz w:val="22"/>
          <w:szCs w:val="22"/>
        </w:rPr>
        <w:t xml:space="preserve"> </w:t>
      </w:r>
      <w:r w:rsidR="00161557">
        <w:rPr>
          <w:rFonts w:ascii="Arial" w:hAnsi="Arial" w:cs="Arial"/>
          <w:sz w:val="22"/>
          <w:szCs w:val="22"/>
        </w:rPr>
        <w:t xml:space="preserve">De kwalificatie </w:t>
      </w:r>
      <w:r w:rsidR="00605FFC">
        <w:rPr>
          <w:rFonts w:ascii="Arial" w:hAnsi="Arial" w:cs="Arial"/>
          <w:sz w:val="22"/>
          <w:szCs w:val="22"/>
        </w:rPr>
        <w:t>als</w:t>
      </w:r>
      <w:r w:rsidR="00161557">
        <w:rPr>
          <w:rFonts w:ascii="Arial" w:hAnsi="Arial" w:cs="Arial"/>
          <w:sz w:val="22"/>
          <w:szCs w:val="22"/>
        </w:rPr>
        <w:t xml:space="preserve"> fonogrammenproducent is een rechtsfeit en het is niet aan partijen </w:t>
      </w:r>
      <w:r w:rsidR="00E41AC4">
        <w:rPr>
          <w:rFonts w:ascii="Arial" w:hAnsi="Arial" w:cs="Arial"/>
          <w:sz w:val="22"/>
          <w:szCs w:val="22"/>
        </w:rPr>
        <w:t>om daaraan te tornen.</w:t>
      </w:r>
      <w:r>
        <w:rPr>
          <w:rFonts w:ascii="Arial" w:hAnsi="Arial" w:cs="Arial"/>
          <w:sz w:val="22"/>
          <w:szCs w:val="22"/>
        </w:rPr>
        <w:t xml:space="preserve"> </w:t>
      </w:r>
      <w:r w:rsidR="00605FFC">
        <w:rPr>
          <w:rFonts w:ascii="Arial" w:hAnsi="Arial" w:cs="Arial"/>
          <w:sz w:val="22"/>
          <w:szCs w:val="22"/>
        </w:rPr>
        <w:t xml:space="preserve">Als gevolg van dit oordeel kan </w:t>
      </w:r>
      <w:proofErr w:type="spellStart"/>
      <w:r w:rsidR="00605FFC">
        <w:rPr>
          <w:rFonts w:ascii="Arial" w:hAnsi="Arial" w:cs="Arial"/>
          <w:sz w:val="22"/>
          <w:szCs w:val="22"/>
        </w:rPr>
        <w:t>Garrix</w:t>
      </w:r>
      <w:proofErr w:type="spellEnd"/>
      <w:r w:rsidR="00605FFC">
        <w:rPr>
          <w:rFonts w:ascii="Arial" w:hAnsi="Arial" w:cs="Arial"/>
          <w:sz w:val="22"/>
          <w:szCs w:val="22"/>
        </w:rPr>
        <w:t xml:space="preserve"> aanspraak maken op het producentendeel bij SENA, naast het artiestendeel waar hij als uitvoerende kunstenaar al recht op had. </w:t>
      </w:r>
      <w:r w:rsidR="00891645">
        <w:rPr>
          <w:rFonts w:ascii="Arial" w:hAnsi="Arial" w:cs="Arial"/>
          <w:sz w:val="22"/>
          <w:szCs w:val="22"/>
        </w:rPr>
        <w:t xml:space="preserve">  </w:t>
      </w:r>
    </w:p>
    <w:p w14:paraId="4D7A5BD4" w14:textId="69F1D3FF" w:rsidR="00DF5DF6" w:rsidRDefault="00DF5DF6" w:rsidP="006F25CF">
      <w:pPr>
        <w:spacing w:line="300" w:lineRule="auto"/>
        <w:jc w:val="both"/>
        <w:rPr>
          <w:rFonts w:ascii="Arial" w:hAnsi="Arial" w:cs="Arial"/>
          <w:sz w:val="22"/>
          <w:szCs w:val="22"/>
        </w:rPr>
      </w:pPr>
    </w:p>
    <w:p w14:paraId="7D5EC4E2" w14:textId="26C05F92" w:rsidR="00083361" w:rsidRPr="00083361" w:rsidRDefault="00083361" w:rsidP="006F25CF">
      <w:pPr>
        <w:spacing w:line="300" w:lineRule="auto"/>
        <w:jc w:val="both"/>
        <w:rPr>
          <w:rFonts w:ascii="Arial" w:hAnsi="Arial" w:cs="Arial"/>
          <w:b/>
          <w:sz w:val="22"/>
          <w:szCs w:val="22"/>
        </w:rPr>
      </w:pPr>
      <w:r>
        <w:rPr>
          <w:rFonts w:ascii="Arial" w:hAnsi="Arial" w:cs="Arial"/>
          <w:b/>
          <w:sz w:val="22"/>
          <w:szCs w:val="22"/>
        </w:rPr>
        <w:t>Moderne m</w:t>
      </w:r>
      <w:r w:rsidRPr="00083361">
        <w:rPr>
          <w:rFonts w:ascii="Arial" w:hAnsi="Arial" w:cs="Arial"/>
          <w:b/>
          <w:sz w:val="22"/>
          <w:szCs w:val="22"/>
        </w:rPr>
        <w:t>uziekpraktijk</w:t>
      </w:r>
    </w:p>
    <w:p w14:paraId="548B865A" w14:textId="504C6149" w:rsidR="006B4B6E" w:rsidRDefault="00083361" w:rsidP="006F25CF">
      <w:pPr>
        <w:spacing w:line="300" w:lineRule="auto"/>
        <w:jc w:val="both"/>
        <w:rPr>
          <w:rFonts w:ascii="Arial" w:hAnsi="Arial" w:cs="Arial"/>
          <w:sz w:val="22"/>
          <w:szCs w:val="22"/>
        </w:rPr>
      </w:pPr>
      <w:r>
        <w:rPr>
          <w:rFonts w:ascii="Arial" w:hAnsi="Arial" w:cs="Arial"/>
          <w:sz w:val="22"/>
          <w:szCs w:val="22"/>
        </w:rPr>
        <w:t>Zowel de Rechtbank als h</w:t>
      </w:r>
      <w:r w:rsidR="00AE28B3">
        <w:rPr>
          <w:rFonts w:ascii="Arial" w:hAnsi="Arial" w:cs="Arial"/>
          <w:sz w:val="22"/>
          <w:szCs w:val="22"/>
        </w:rPr>
        <w:t xml:space="preserve">et Hof </w:t>
      </w:r>
      <w:r>
        <w:rPr>
          <w:rFonts w:ascii="Arial" w:hAnsi="Arial" w:cs="Arial"/>
          <w:sz w:val="22"/>
          <w:szCs w:val="22"/>
        </w:rPr>
        <w:t xml:space="preserve">houden </w:t>
      </w:r>
      <w:r w:rsidR="008007CE">
        <w:rPr>
          <w:rFonts w:ascii="Arial" w:hAnsi="Arial" w:cs="Arial"/>
          <w:sz w:val="22"/>
          <w:szCs w:val="22"/>
        </w:rPr>
        <w:t>platen</w:t>
      </w:r>
      <w:r w:rsidR="00F704FE">
        <w:rPr>
          <w:rFonts w:ascii="Arial" w:hAnsi="Arial" w:cs="Arial"/>
          <w:sz w:val="22"/>
          <w:szCs w:val="22"/>
        </w:rPr>
        <w:t>maatschappijen</w:t>
      </w:r>
      <w:r w:rsidR="00AE28B3">
        <w:rPr>
          <w:rFonts w:ascii="Arial" w:hAnsi="Arial" w:cs="Arial"/>
          <w:sz w:val="22"/>
          <w:szCs w:val="22"/>
        </w:rPr>
        <w:t xml:space="preserve"> in algemene zin</w:t>
      </w:r>
      <w:r w:rsidR="008007CE">
        <w:rPr>
          <w:rFonts w:ascii="Arial" w:hAnsi="Arial" w:cs="Arial"/>
          <w:sz w:val="22"/>
          <w:szCs w:val="22"/>
        </w:rPr>
        <w:t xml:space="preserve"> een spiegel voor van de nieuwe </w:t>
      </w:r>
      <w:r w:rsidR="00F0518F">
        <w:rPr>
          <w:rFonts w:ascii="Arial" w:hAnsi="Arial" w:cs="Arial"/>
          <w:sz w:val="22"/>
          <w:szCs w:val="22"/>
        </w:rPr>
        <w:t>productie</w:t>
      </w:r>
      <w:r w:rsidR="008007CE">
        <w:rPr>
          <w:rFonts w:ascii="Arial" w:hAnsi="Arial" w:cs="Arial"/>
          <w:sz w:val="22"/>
          <w:szCs w:val="22"/>
        </w:rPr>
        <w:t xml:space="preserve">realiteit die </w:t>
      </w:r>
      <w:r>
        <w:rPr>
          <w:rFonts w:ascii="Arial" w:hAnsi="Arial" w:cs="Arial"/>
          <w:sz w:val="22"/>
          <w:szCs w:val="22"/>
        </w:rPr>
        <w:t>vooral</w:t>
      </w:r>
      <w:r w:rsidR="008007CE">
        <w:rPr>
          <w:rFonts w:ascii="Arial" w:hAnsi="Arial" w:cs="Arial"/>
          <w:sz w:val="22"/>
          <w:szCs w:val="22"/>
        </w:rPr>
        <w:t xml:space="preserve"> bij de genres van elektronische muziek, hiphop en beats speelt.</w:t>
      </w:r>
      <w:r w:rsidR="00AE28B3">
        <w:rPr>
          <w:rFonts w:ascii="Arial" w:hAnsi="Arial" w:cs="Arial"/>
          <w:sz w:val="22"/>
          <w:szCs w:val="22"/>
        </w:rPr>
        <w:t xml:space="preserve"> Naar mijn mening terecht omdat</w:t>
      </w:r>
      <w:r w:rsidR="006D0215">
        <w:rPr>
          <w:rFonts w:ascii="Arial" w:hAnsi="Arial" w:cs="Arial"/>
          <w:sz w:val="22"/>
          <w:szCs w:val="22"/>
        </w:rPr>
        <w:t xml:space="preserve"> artiesten en producers in deze muziekgenres sinds de opkomst van digitale muziekexploitatie</w:t>
      </w:r>
      <w:r>
        <w:rPr>
          <w:rFonts w:ascii="Arial" w:hAnsi="Arial" w:cs="Arial"/>
          <w:sz w:val="22"/>
          <w:szCs w:val="22"/>
        </w:rPr>
        <w:t xml:space="preserve"> eind vorige eeuw</w:t>
      </w:r>
      <w:r w:rsidR="006D0215">
        <w:rPr>
          <w:rFonts w:ascii="Arial" w:hAnsi="Arial" w:cs="Arial"/>
          <w:sz w:val="22"/>
          <w:szCs w:val="22"/>
        </w:rPr>
        <w:t xml:space="preserve"> een ‘doe-het-zelf-mentaliteit’ aan de dag</w:t>
      </w:r>
      <w:r>
        <w:rPr>
          <w:rFonts w:ascii="Arial" w:hAnsi="Arial" w:cs="Arial"/>
          <w:sz w:val="22"/>
          <w:szCs w:val="22"/>
        </w:rPr>
        <w:t xml:space="preserve"> </w:t>
      </w:r>
      <w:r w:rsidR="006D0215">
        <w:rPr>
          <w:rFonts w:ascii="Arial" w:hAnsi="Arial" w:cs="Arial"/>
          <w:sz w:val="22"/>
          <w:szCs w:val="22"/>
        </w:rPr>
        <w:t xml:space="preserve">leggen en </w:t>
      </w:r>
      <w:r w:rsidR="006B4B6E">
        <w:rPr>
          <w:rFonts w:ascii="Arial" w:hAnsi="Arial" w:cs="Arial"/>
          <w:sz w:val="22"/>
          <w:szCs w:val="22"/>
        </w:rPr>
        <w:t xml:space="preserve">met behulp van de nieuwste technieken </w:t>
      </w:r>
      <w:r w:rsidR="006D0215">
        <w:rPr>
          <w:rFonts w:ascii="Arial" w:hAnsi="Arial" w:cs="Arial"/>
          <w:sz w:val="22"/>
          <w:szCs w:val="22"/>
        </w:rPr>
        <w:t xml:space="preserve">als zodanig persoonlijk aan de wieg </w:t>
      </w:r>
      <w:r>
        <w:rPr>
          <w:rFonts w:ascii="Arial" w:hAnsi="Arial" w:cs="Arial"/>
          <w:sz w:val="22"/>
          <w:szCs w:val="22"/>
        </w:rPr>
        <w:t xml:space="preserve">van </w:t>
      </w:r>
      <w:r w:rsidR="006D0215">
        <w:rPr>
          <w:rFonts w:ascii="Arial" w:hAnsi="Arial" w:cs="Arial"/>
          <w:sz w:val="22"/>
          <w:szCs w:val="22"/>
        </w:rPr>
        <w:t>hun muziekproducties</w:t>
      </w:r>
      <w:r w:rsidR="006B4B6E">
        <w:rPr>
          <w:rFonts w:ascii="Arial" w:hAnsi="Arial" w:cs="Arial"/>
          <w:sz w:val="22"/>
          <w:szCs w:val="22"/>
        </w:rPr>
        <w:t xml:space="preserve"> staan</w:t>
      </w:r>
      <w:r w:rsidR="009955EC">
        <w:rPr>
          <w:rFonts w:ascii="Arial" w:hAnsi="Arial" w:cs="Arial"/>
          <w:sz w:val="22"/>
          <w:szCs w:val="22"/>
        </w:rPr>
        <w:t>.</w:t>
      </w:r>
      <w:r w:rsidR="006B4B6E">
        <w:rPr>
          <w:rFonts w:ascii="Arial" w:hAnsi="Arial" w:cs="Arial"/>
          <w:sz w:val="22"/>
          <w:szCs w:val="22"/>
        </w:rPr>
        <w:t xml:space="preserve"> Aan de andere kant zijn platenmaatschappijen juist vanwege de digitale muziekexploitatie minder gaan investeren in de productie van muziek. Zij focussen nu vooral op A&amp;R, promotie en marketing, met </w:t>
      </w:r>
      <w:r w:rsidR="008B279D">
        <w:rPr>
          <w:rFonts w:ascii="Arial" w:hAnsi="Arial" w:cs="Arial"/>
          <w:sz w:val="22"/>
          <w:szCs w:val="22"/>
        </w:rPr>
        <w:t>intensieve</w:t>
      </w:r>
      <w:r w:rsidR="006B4B6E">
        <w:rPr>
          <w:rFonts w:ascii="Arial" w:hAnsi="Arial" w:cs="Arial"/>
          <w:sz w:val="22"/>
          <w:szCs w:val="22"/>
        </w:rPr>
        <w:t xml:space="preserve"> inzet van </w:t>
      </w:r>
      <w:proofErr w:type="spellStart"/>
      <w:r w:rsidR="006B4B6E">
        <w:rPr>
          <w:rFonts w:ascii="Arial" w:hAnsi="Arial" w:cs="Arial"/>
          <w:sz w:val="22"/>
          <w:szCs w:val="22"/>
        </w:rPr>
        <w:t>social</w:t>
      </w:r>
      <w:proofErr w:type="spellEnd"/>
      <w:r w:rsidR="006B4B6E">
        <w:rPr>
          <w:rFonts w:ascii="Arial" w:hAnsi="Arial" w:cs="Arial"/>
          <w:sz w:val="22"/>
          <w:szCs w:val="22"/>
        </w:rPr>
        <w:t xml:space="preserve"> media.</w:t>
      </w:r>
      <w:r w:rsidR="009955EC">
        <w:rPr>
          <w:rFonts w:ascii="Arial" w:hAnsi="Arial" w:cs="Arial"/>
          <w:sz w:val="22"/>
          <w:szCs w:val="22"/>
        </w:rPr>
        <w:t xml:space="preserve"> </w:t>
      </w:r>
      <w:r w:rsidR="007C77CC">
        <w:rPr>
          <w:rFonts w:ascii="Arial" w:hAnsi="Arial" w:cs="Arial"/>
          <w:sz w:val="22"/>
          <w:szCs w:val="22"/>
        </w:rPr>
        <w:t xml:space="preserve">Dat belangrijke actoren in de moderne muziekpraktijk andere accenten zijn gaan leggen, staat </w:t>
      </w:r>
      <w:r w:rsidR="008B279D">
        <w:rPr>
          <w:rFonts w:ascii="Arial" w:hAnsi="Arial" w:cs="Arial"/>
          <w:sz w:val="22"/>
          <w:szCs w:val="22"/>
        </w:rPr>
        <w:t xml:space="preserve">onder huidig recht </w:t>
      </w:r>
      <w:r w:rsidR="007C77CC">
        <w:rPr>
          <w:rFonts w:ascii="Arial" w:hAnsi="Arial" w:cs="Arial"/>
          <w:sz w:val="22"/>
          <w:szCs w:val="22"/>
        </w:rPr>
        <w:t xml:space="preserve">niet in de weg aan het verlenen van </w:t>
      </w:r>
      <w:r w:rsidR="006D0215">
        <w:rPr>
          <w:rFonts w:ascii="Arial" w:hAnsi="Arial" w:cs="Arial"/>
          <w:sz w:val="22"/>
          <w:szCs w:val="22"/>
        </w:rPr>
        <w:t>nabuurrechtelijk</w:t>
      </w:r>
      <w:r w:rsidR="007C77CC">
        <w:rPr>
          <w:rFonts w:ascii="Arial" w:hAnsi="Arial" w:cs="Arial"/>
          <w:sz w:val="22"/>
          <w:szCs w:val="22"/>
        </w:rPr>
        <w:t xml:space="preserve">e bescherming aan </w:t>
      </w:r>
      <w:r w:rsidR="006D0215">
        <w:rPr>
          <w:rFonts w:ascii="Arial" w:hAnsi="Arial" w:cs="Arial"/>
          <w:sz w:val="22"/>
          <w:szCs w:val="22"/>
        </w:rPr>
        <w:t>de</w:t>
      </w:r>
      <w:r w:rsidR="009955EC">
        <w:rPr>
          <w:rFonts w:ascii="Arial" w:hAnsi="Arial" w:cs="Arial"/>
          <w:sz w:val="22"/>
          <w:szCs w:val="22"/>
        </w:rPr>
        <w:t xml:space="preserve"> investeringen van de ‘zolderkamerproducers’</w:t>
      </w:r>
      <w:r w:rsidR="007C77CC">
        <w:rPr>
          <w:rFonts w:ascii="Arial" w:hAnsi="Arial" w:cs="Arial"/>
          <w:sz w:val="22"/>
          <w:szCs w:val="22"/>
        </w:rPr>
        <w:t>.</w:t>
      </w:r>
      <w:r w:rsidR="009955EC">
        <w:rPr>
          <w:rFonts w:ascii="Arial" w:hAnsi="Arial" w:cs="Arial"/>
          <w:sz w:val="22"/>
          <w:szCs w:val="22"/>
        </w:rPr>
        <w:t xml:space="preserve"> </w:t>
      </w:r>
      <w:r w:rsidR="007C77CC">
        <w:rPr>
          <w:rFonts w:ascii="Arial" w:hAnsi="Arial" w:cs="Arial"/>
          <w:sz w:val="22"/>
          <w:szCs w:val="22"/>
        </w:rPr>
        <w:t>D</w:t>
      </w:r>
      <w:r w:rsidR="009955EC">
        <w:rPr>
          <w:rFonts w:ascii="Arial" w:hAnsi="Arial" w:cs="Arial"/>
          <w:sz w:val="22"/>
          <w:szCs w:val="22"/>
        </w:rPr>
        <w:t xml:space="preserve">e </w:t>
      </w:r>
      <w:r w:rsidR="00AD1358">
        <w:rPr>
          <w:rFonts w:ascii="Arial" w:hAnsi="Arial" w:cs="Arial"/>
          <w:sz w:val="22"/>
          <w:szCs w:val="22"/>
        </w:rPr>
        <w:t xml:space="preserve">wettelijke </w:t>
      </w:r>
      <w:r w:rsidR="009955EC">
        <w:rPr>
          <w:rFonts w:ascii="Arial" w:hAnsi="Arial" w:cs="Arial"/>
          <w:sz w:val="22"/>
          <w:szCs w:val="22"/>
        </w:rPr>
        <w:t xml:space="preserve">bescherming </w:t>
      </w:r>
      <w:r w:rsidR="007C77CC">
        <w:rPr>
          <w:rFonts w:ascii="Arial" w:hAnsi="Arial" w:cs="Arial"/>
          <w:sz w:val="22"/>
          <w:szCs w:val="22"/>
        </w:rPr>
        <w:t xml:space="preserve">is </w:t>
      </w:r>
      <w:r w:rsidR="009955EC">
        <w:rPr>
          <w:rFonts w:ascii="Arial" w:hAnsi="Arial" w:cs="Arial"/>
          <w:sz w:val="22"/>
          <w:szCs w:val="22"/>
        </w:rPr>
        <w:t xml:space="preserve">sinds de invoering van de </w:t>
      </w:r>
      <w:proofErr w:type="spellStart"/>
      <w:r w:rsidR="009955EC">
        <w:rPr>
          <w:rFonts w:ascii="Arial" w:hAnsi="Arial" w:cs="Arial"/>
          <w:sz w:val="22"/>
          <w:szCs w:val="22"/>
        </w:rPr>
        <w:t>Wnr</w:t>
      </w:r>
      <w:proofErr w:type="spellEnd"/>
      <w:r w:rsidR="006B3715">
        <w:rPr>
          <w:rFonts w:ascii="Arial" w:hAnsi="Arial" w:cs="Arial"/>
          <w:sz w:val="22"/>
          <w:szCs w:val="22"/>
        </w:rPr>
        <w:t xml:space="preserve"> tot op de dag van vandaag </w:t>
      </w:r>
      <w:r w:rsidR="009955EC">
        <w:rPr>
          <w:rFonts w:ascii="Arial" w:hAnsi="Arial" w:cs="Arial"/>
          <w:sz w:val="22"/>
          <w:szCs w:val="22"/>
        </w:rPr>
        <w:t>aan de investeringen van platen</w:t>
      </w:r>
      <w:r>
        <w:rPr>
          <w:rFonts w:ascii="Arial" w:hAnsi="Arial" w:cs="Arial"/>
          <w:sz w:val="22"/>
          <w:szCs w:val="22"/>
        </w:rPr>
        <w:t>maatschappijen</w:t>
      </w:r>
      <w:r w:rsidR="009955EC">
        <w:rPr>
          <w:rFonts w:ascii="Arial" w:hAnsi="Arial" w:cs="Arial"/>
          <w:sz w:val="22"/>
          <w:szCs w:val="22"/>
        </w:rPr>
        <w:t xml:space="preserve"> </w:t>
      </w:r>
      <w:r w:rsidR="006B3715">
        <w:rPr>
          <w:rFonts w:ascii="Arial" w:hAnsi="Arial" w:cs="Arial"/>
          <w:sz w:val="22"/>
          <w:szCs w:val="22"/>
        </w:rPr>
        <w:t xml:space="preserve">in de vervaardiging van opnamen </w:t>
      </w:r>
      <w:r w:rsidR="009955EC">
        <w:rPr>
          <w:rFonts w:ascii="Arial" w:hAnsi="Arial" w:cs="Arial"/>
          <w:sz w:val="22"/>
          <w:szCs w:val="22"/>
        </w:rPr>
        <w:t xml:space="preserve">verleend. </w:t>
      </w:r>
      <w:r w:rsidR="006B3715">
        <w:rPr>
          <w:rFonts w:ascii="Arial" w:hAnsi="Arial" w:cs="Arial"/>
          <w:sz w:val="22"/>
          <w:szCs w:val="22"/>
        </w:rPr>
        <w:t xml:space="preserve">Het naburige recht van de fonogrammenproducent is destijds niet ingevoerd om uitsluitend platenmaatschappijen te behagen.  </w:t>
      </w:r>
    </w:p>
    <w:p w14:paraId="34A7974C" w14:textId="77777777" w:rsidR="00051B2A" w:rsidRDefault="00051B2A" w:rsidP="006F25CF">
      <w:pPr>
        <w:spacing w:line="300" w:lineRule="auto"/>
        <w:jc w:val="both"/>
        <w:rPr>
          <w:rFonts w:ascii="Arial" w:hAnsi="Arial" w:cs="Arial"/>
          <w:sz w:val="22"/>
          <w:szCs w:val="22"/>
        </w:rPr>
      </w:pPr>
    </w:p>
    <w:p w14:paraId="5513327F" w14:textId="6E071E51" w:rsidR="009955EC" w:rsidRDefault="009955EC" w:rsidP="006F25CF">
      <w:pPr>
        <w:spacing w:line="300" w:lineRule="auto"/>
        <w:jc w:val="both"/>
        <w:rPr>
          <w:rFonts w:ascii="Arial" w:hAnsi="Arial" w:cs="Arial"/>
          <w:sz w:val="22"/>
          <w:szCs w:val="22"/>
        </w:rPr>
      </w:pPr>
    </w:p>
    <w:p w14:paraId="471BD0F7" w14:textId="0F80F5A9" w:rsidR="00A103DE" w:rsidRDefault="009955EC" w:rsidP="006F25CF">
      <w:pPr>
        <w:spacing w:line="300" w:lineRule="auto"/>
        <w:jc w:val="both"/>
        <w:rPr>
          <w:rFonts w:ascii="Arial" w:hAnsi="Arial" w:cs="Arial"/>
          <w:sz w:val="22"/>
          <w:szCs w:val="22"/>
        </w:rPr>
      </w:pPr>
      <w:r>
        <w:rPr>
          <w:rFonts w:ascii="Arial" w:hAnsi="Arial" w:cs="Arial"/>
          <w:sz w:val="22"/>
          <w:szCs w:val="22"/>
        </w:rPr>
        <w:t>BS</w:t>
      </w:r>
      <w:r w:rsidR="008007CE">
        <w:rPr>
          <w:rFonts w:ascii="Arial" w:hAnsi="Arial" w:cs="Arial"/>
          <w:sz w:val="22"/>
          <w:szCs w:val="22"/>
        </w:rPr>
        <w:t xml:space="preserve"> </w:t>
      </w:r>
    </w:p>
    <w:p w14:paraId="384F5CF5" w14:textId="77777777" w:rsidR="007444E8" w:rsidRDefault="007444E8" w:rsidP="004B2A64">
      <w:pPr>
        <w:spacing w:line="300" w:lineRule="auto"/>
        <w:jc w:val="both"/>
      </w:pPr>
    </w:p>
    <w:sectPr w:rsidR="007444E8" w:rsidSect="000740C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BA78" w14:textId="77777777" w:rsidR="0097560B" w:rsidRDefault="0097560B" w:rsidP="006F25CF">
      <w:r>
        <w:separator/>
      </w:r>
    </w:p>
  </w:endnote>
  <w:endnote w:type="continuationSeparator" w:id="0">
    <w:p w14:paraId="1AF20E97" w14:textId="77777777" w:rsidR="0097560B" w:rsidRDefault="0097560B" w:rsidP="006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C9D" w14:textId="77777777" w:rsidR="001005D3" w:rsidRDefault="001005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DE7" w14:textId="77777777" w:rsidR="001005D3" w:rsidRDefault="001005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B0D4" w14:textId="77777777" w:rsidR="001005D3" w:rsidRDefault="001005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4630" w14:textId="77777777" w:rsidR="0097560B" w:rsidRDefault="0097560B" w:rsidP="006F25CF">
      <w:r>
        <w:separator/>
      </w:r>
    </w:p>
  </w:footnote>
  <w:footnote w:type="continuationSeparator" w:id="0">
    <w:p w14:paraId="2AF5F978" w14:textId="77777777" w:rsidR="0097560B" w:rsidRDefault="0097560B" w:rsidP="006F25CF">
      <w:r>
        <w:continuationSeparator/>
      </w:r>
    </w:p>
  </w:footnote>
  <w:footnote w:id="1">
    <w:p w14:paraId="6A588F93" w14:textId="10622AF4" w:rsidR="00B76A1D" w:rsidRDefault="00B76A1D">
      <w:pPr>
        <w:pStyle w:val="Voetnoottekst"/>
      </w:pPr>
      <w:r w:rsidRPr="00B76A1D">
        <w:rPr>
          <w:rStyle w:val="Voetnootmarkering"/>
          <w:rFonts w:ascii="Arial" w:hAnsi="Arial" w:cs="Arial"/>
          <w:sz w:val="18"/>
          <w:szCs w:val="18"/>
        </w:rPr>
        <w:footnoteRef/>
      </w:r>
      <w:r w:rsidRPr="00B76A1D">
        <w:rPr>
          <w:rFonts w:ascii="Arial" w:hAnsi="Arial" w:cs="Arial"/>
          <w:sz w:val="18"/>
          <w:szCs w:val="18"/>
          <w:lang w:val="en-US"/>
        </w:rPr>
        <w:t xml:space="preserve"> </w:t>
      </w:r>
      <w:proofErr w:type="spellStart"/>
      <w:r w:rsidRPr="004E12AC">
        <w:rPr>
          <w:rFonts w:ascii="Arial" w:hAnsi="Arial" w:cs="Arial"/>
          <w:sz w:val="18"/>
          <w:szCs w:val="18"/>
          <w:lang w:val="en-US"/>
        </w:rPr>
        <w:t>Rb</w:t>
      </w:r>
      <w:proofErr w:type="spellEnd"/>
      <w:r w:rsidRPr="004E12AC">
        <w:rPr>
          <w:rFonts w:ascii="Arial" w:hAnsi="Arial" w:cs="Arial"/>
          <w:sz w:val="18"/>
          <w:szCs w:val="18"/>
          <w:lang w:val="en-US"/>
        </w:rPr>
        <w:t xml:space="preserve">. Midden-Nederland 20 </w:t>
      </w:r>
      <w:proofErr w:type="spellStart"/>
      <w:r w:rsidRPr="004E12AC">
        <w:rPr>
          <w:rFonts w:ascii="Arial" w:hAnsi="Arial" w:cs="Arial"/>
          <w:sz w:val="18"/>
          <w:szCs w:val="18"/>
          <w:lang w:val="en-US"/>
        </w:rPr>
        <w:t>september</w:t>
      </w:r>
      <w:proofErr w:type="spellEnd"/>
      <w:r w:rsidRPr="004E12AC">
        <w:rPr>
          <w:rFonts w:ascii="Arial" w:hAnsi="Arial" w:cs="Arial"/>
          <w:sz w:val="18"/>
          <w:szCs w:val="18"/>
          <w:lang w:val="en-US"/>
        </w:rPr>
        <w:t xml:space="preserve"> 2017, ECLI:</w:t>
      </w:r>
      <w:proofErr w:type="gramStart"/>
      <w:r w:rsidRPr="004E12AC">
        <w:rPr>
          <w:rFonts w:ascii="Arial" w:hAnsi="Arial" w:cs="Arial"/>
          <w:sz w:val="18"/>
          <w:szCs w:val="18"/>
          <w:lang w:val="en-US"/>
        </w:rPr>
        <w:t>NL:RBMNE</w:t>
      </w:r>
      <w:proofErr w:type="gramEnd"/>
      <w:r w:rsidRPr="004E12AC">
        <w:rPr>
          <w:rFonts w:ascii="Arial" w:hAnsi="Arial" w:cs="Arial"/>
          <w:sz w:val="18"/>
          <w:szCs w:val="18"/>
          <w:lang w:val="en-US"/>
        </w:rPr>
        <w:t>:2017:4775 (</w:t>
      </w:r>
      <w:proofErr w:type="spellStart"/>
      <w:r w:rsidRPr="004E12AC">
        <w:rPr>
          <w:rFonts w:ascii="Arial" w:hAnsi="Arial" w:cs="Arial"/>
          <w:i/>
          <w:sz w:val="18"/>
          <w:szCs w:val="18"/>
          <w:lang w:val="en-US"/>
        </w:rPr>
        <w:t>MusicAllstars</w:t>
      </w:r>
      <w:proofErr w:type="spellEnd"/>
      <w:r w:rsidRPr="004E12AC">
        <w:rPr>
          <w:rFonts w:ascii="Arial" w:hAnsi="Arial" w:cs="Arial"/>
          <w:i/>
          <w:sz w:val="18"/>
          <w:szCs w:val="18"/>
          <w:lang w:val="en-US"/>
        </w:rPr>
        <w:t xml:space="preserve"> Management, </w:t>
      </w:r>
      <w:proofErr w:type="spellStart"/>
      <w:r w:rsidRPr="004E12AC">
        <w:rPr>
          <w:rFonts w:ascii="Arial" w:hAnsi="Arial" w:cs="Arial"/>
          <w:i/>
          <w:sz w:val="18"/>
          <w:szCs w:val="18"/>
          <w:lang w:val="en-US"/>
        </w:rPr>
        <w:t>Spinnin</w:t>
      </w:r>
      <w:proofErr w:type="spellEnd"/>
      <w:r w:rsidRPr="004E12AC">
        <w:rPr>
          <w:rFonts w:ascii="Arial" w:hAnsi="Arial" w:cs="Arial"/>
          <w:i/>
          <w:sz w:val="18"/>
          <w:szCs w:val="18"/>
          <w:lang w:val="en-US"/>
        </w:rPr>
        <w:t>’ Records/Martin Garrix</w:t>
      </w:r>
      <w:r w:rsidRPr="004E12AC">
        <w:rPr>
          <w:rFonts w:ascii="Arial" w:hAnsi="Arial" w:cs="Arial"/>
          <w:sz w:val="18"/>
          <w:szCs w:val="18"/>
          <w:lang w:val="en-US"/>
        </w:rPr>
        <w:t>)</w:t>
      </w:r>
      <w:r w:rsidRPr="0041786F">
        <w:rPr>
          <w:rFonts w:ascii="Arial" w:hAnsi="Arial" w:cs="Arial"/>
          <w:sz w:val="18"/>
          <w:szCs w:val="18"/>
          <w:lang w:val="en-US"/>
        </w:rPr>
        <w:t>.</w:t>
      </w:r>
      <w:r>
        <w:rPr>
          <w:rFonts w:ascii="Arial" w:hAnsi="Arial" w:cs="Arial"/>
          <w:sz w:val="18"/>
          <w:szCs w:val="18"/>
          <w:lang w:val="en-US"/>
        </w:rPr>
        <w:t xml:space="preserve"> </w:t>
      </w:r>
      <w:r>
        <w:rPr>
          <w:rFonts w:ascii="Arial" w:hAnsi="Arial" w:cs="Arial"/>
          <w:sz w:val="18"/>
          <w:szCs w:val="18"/>
        </w:rPr>
        <w:t xml:space="preserve">Vgl. </w:t>
      </w:r>
      <w:r w:rsidRPr="00713B4B">
        <w:rPr>
          <w:rFonts w:ascii="Arial" w:hAnsi="Arial" w:cs="Arial"/>
          <w:sz w:val="18"/>
          <w:szCs w:val="18"/>
        </w:rPr>
        <w:t>B.H.M. Schipper, ‘</w:t>
      </w:r>
      <w:r w:rsidRPr="00713B4B">
        <w:rPr>
          <w:rFonts w:ascii="Arial" w:hAnsi="Arial" w:cs="Arial"/>
          <w:i/>
          <w:sz w:val="18"/>
          <w:szCs w:val="18"/>
        </w:rPr>
        <w:t xml:space="preserve">Nabuurrechtelijke erkenning voor zolderkamerproducers. Uitspraak in zaak Martin </w:t>
      </w:r>
      <w:proofErr w:type="spellStart"/>
      <w:r w:rsidRPr="00713B4B">
        <w:rPr>
          <w:rFonts w:ascii="Arial" w:hAnsi="Arial" w:cs="Arial"/>
          <w:i/>
          <w:sz w:val="18"/>
          <w:szCs w:val="18"/>
        </w:rPr>
        <w:t>Garrix</w:t>
      </w:r>
      <w:proofErr w:type="spellEnd"/>
      <w:r w:rsidRPr="00713B4B">
        <w:rPr>
          <w:rFonts w:ascii="Arial" w:hAnsi="Arial" w:cs="Arial"/>
          <w:sz w:val="18"/>
          <w:szCs w:val="18"/>
        </w:rPr>
        <w:t xml:space="preserve">’, </w:t>
      </w:r>
      <w:r w:rsidRPr="00713B4B">
        <w:rPr>
          <w:rFonts w:ascii="Arial" w:hAnsi="Arial" w:cs="Arial"/>
          <w:i/>
          <w:sz w:val="18"/>
          <w:szCs w:val="18"/>
        </w:rPr>
        <w:t>Muziekwereld</w:t>
      </w:r>
      <w:r w:rsidRPr="00713B4B">
        <w:rPr>
          <w:rFonts w:ascii="Arial" w:hAnsi="Arial" w:cs="Arial"/>
          <w:sz w:val="18"/>
          <w:szCs w:val="18"/>
        </w:rPr>
        <w:t xml:space="preserve"> 2017/4, p. 28-31</w:t>
      </w:r>
      <w:r>
        <w:rPr>
          <w:rFonts w:ascii="Arial" w:hAnsi="Arial" w:cs="Arial"/>
          <w:sz w:val="18"/>
          <w:szCs w:val="18"/>
        </w:rPr>
        <w:t>.</w:t>
      </w:r>
    </w:p>
  </w:footnote>
  <w:footnote w:id="2">
    <w:p w14:paraId="4F80479A" w14:textId="5BD1BDB4" w:rsidR="005972D0" w:rsidRPr="00607F36" w:rsidRDefault="005972D0">
      <w:pPr>
        <w:pStyle w:val="Voetnoottekst"/>
        <w:rPr>
          <w:rFonts w:ascii="Arial" w:hAnsi="Arial" w:cs="Arial"/>
          <w:sz w:val="18"/>
          <w:szCs w:val="18"/>
        </w:rPr>
      </w:pPr>
      <w:r w:rsidRPr="00607F36">
        <w:rPr>
          <w:rStyle w:val="Voetnootmarkering"/>
          <w:rFonts w:ascii="Arial" w:hAnsi="Arial" w:cs="Arial"/>
          <w:sz w:val="18"/>
          <w:szCs w:val="18"/>
        </w:rPr>
        <w:footnoteRef/>
      </w:r>
      <w:r w:rsidRPr="00607F36">
        <w:rPr>
          <w:rFonts w:ascii="Arial" w:hAnsi="Arial" w:cs="Arial"/>
          <w:sz w:val="18"/>
          <w:szCs w:val="18"/>
        </w:rPr>
        <w:t xml:space="preserve"> Te vergelijken met een zogeheten 360 graden of ‘full </w:t>
      </w:r>
      <w:proofErr w:type="spellStart"/>
      <w:r w:rsidRPr="00607F36">
        <w:rPr>
          <w:rFonts w:ascii="Arial" w:hAnsi="Arial" w:cs="Arial"/>
          <w:sz w:val="18"/>
          <w:szCs w:val="18"/>
        </w:rPr>
        <w:t>rights</w:t>
      </w:r>
      <w:proofErr w:type="spellEnd"/>
      <w:r w:rsidRPr="00607F36">
        <w:rPr>
          <w:rFonts w:ascii="Arial" w:hAnsi="Arial" w:cs="Arial"/>
          <w:sz w:val="18"/>
          <w:szCs w:val="18"/>
        </w:rPr>
        <w:t>’ samenwerkingsovereenkomst</w:t>
      </w:r>
      <w:r>
        <w:rPr>
          <w:rFonts w:ascii="Arial" w:hAnsi="Arial" w:cs="Arial"/>
          <w:sz w:val="18"/>
          <w:szCs w:val="18"/>
        </w:rPr>
        <w:t>en waarbij inkomsten uit exploitatie na aftrek van kosten op basis van specifieke verdeelsleutels worden verdeeld</w:t>
      </w:r>
      <w:r w:rsidRPr="00607F36">
        <w:rPr>
          <w:rFonts w:ascii="Arial" w:hAnsi="Arial" w:cs="Arial"/>
          <w:sz w:val="18"/>
          <w:szCs w:val="18"/>
        </w:rPr>
        <w:t>.</w:t>
      </w:r>
    </w:p>
  </w:footnote>
  <w:footnote w:id="3">
    <w:p w14:paraId="37C2CEEB" w14:textId="1244AAC3" w:rsidR="005972D0" w:rsidRPr="006D49D5" w:rsidRDefault="005972D0">
      <w:pPr>
        <w:pStyle w:val="Voetnoottekst"/>
        <w:rPr>
          <w:rFonts w:ascii="Arial" w:hAnsi="Arial" w:cs="Arial"/>
          <w:sz w:val="18"/>
          <w:szCs w:val="18"/>
        </w:rPr>
      </w:pPr>
      <w:r w:rsidRPr="006D49D5">
        <w:rPr>
          <w:rStyle w:val="Voetnootmarkering"/>
          <w:rFonts w:ascii="Arial" w:hAnsi="Arial" w:cs="Arial"/>
          <w:sz w:val="18"/>
          <w:szCs w:val="18"/>
        </w:rPr>
        <w:footnoteRef/>
      </w:r>
      <w:r w:rsidRPr="00B76A1D">
        <w:rPr>
          <w:rFonts w:ascii="Arial" w:hAnsi="Arial" w:cs="Arial"/>
          <w:sz w:val="18"/>
          <w:szCs w:val="18"/>
        </w:rPr>
        <w:t xml:space="preserve"> </w:t>
      </w:r>
      <w:r w:rsidR="00B76A1D" w:rsidRPr="006D49D5">
        <w:rPr>
          <w:rFonts w:ascii="Arial" w:hAnsi="Arial" w:cs="Arial"/>
          <w:sz w:val="18"/>
          <w:szCs w:val="18"/>
        </w:rPr>
        <w:t xml:space="preserve">Zie onder meer </w:t>
      </w:r>
      <w:proofErr w:type="spellStart"/>
      <w:r w:rsidR="00B76A1D" w:rsidRPr="006D49D5">
        <w:rPr>
          <w:rFonts w:ascii="Arial" w:hAnsi="Arial" w:cs="Arial"/>
          <w:sz w:val="18"/>
          <w:szCs w:val="18"/>
        </w:rPr>
        <w:t>r.o.</w:t>
      </w:r>
      <w:proofErr w:type="spellEnd"/>
      <w:r w:rsidR="00B76A1D" w:rsidRPr="006D49D5">
        <w:rPr>
          <w:rFonts w:ascii="Arial" w:hAnsi="Arial" w:cs="Arial"/>
          <w:sz w:val="18"/>
          <w:szCs w:val="18"/>
        </w:rPr>
        <w:t xml:space="preserve"> 5.28 t/m 5.33</w:t>
      </w:r>
      <w:r w:rsidR="00B76A1D">
        <w:rPr>
          <w:rFonts w:ascii="Arial" w:hAnsi="Arial" w:cs="Arial"/>
          <w:sz w:val="18"/>
          <w:szCs w:val="18"/>
        </w:rPr>
        <w:t xml:space="preserve"> van het vonnis van de Rechtbank, supra noot 1</w:t>
      </w:r>
      <w:r w:rsidR="00B76A1D" w:rsidRPr="006D49D5">
        <w:rPr>
          <w:rFonts w:ascii="Arial" w:hAnsi="Arial" w:cs="Arial"/>
          <w:sz w:val="18"/>
          <w:szCs w:val="18"/>
        </w:rPr>
        <w:t>.</w:t>
      </w:r>
    </w:p>
  </w:footnote>
  <w:footnote w:id="4">
    <w:p w14:paraId="254D4C4B" w14:textId="03AC411C" w:rsidR="005972D0" w:rsidRPr="0078021E" w:rsidRDefault="005972D0" w:rsidP="00A26F80">
      <w:pPr>
        <w:pStyle w:val="Voetnoottekst"/>
        <w:rPr>
          <w:rFonts w:ascii="Arial" w:hAnsi="Arial" w:cs="Arial"/>
          <w:sz w:val="18"/>
          <w:szCs w:val="18"/>
        </w:rPr>
      </w:pPr>
      <w:r w:rsidRPr="0078021E">
        <w:rPr>
          <w:rStyle w:val="Voetnootmarkering"/>
          <w:rFonts w:ascii="Arial" w:hAnsi="Arial" w:cs="Arial"/>
          <w:sz w:val="18"/>
          <w:szCs w:val="18"/>
        </w:rPr>
        <w:footnoteRef/>
      </w:r>
      <w:r w:rsidRPr="0078021E">
        <w:rPr>
          <w:rFonts w:ascii="Arial" w:hAnsi="Arial" w:cs="Arial"/>
          <w:sz w:val="18"/>
          <w:szCs w:val="18"/>
        </w:rPr>
        <w:t xml:space="preserve"> Hof Amsterdam 4 mei 2010, ECLI:</w:t>
      </w:r>
      <w:proofErr w:type="gramStart"/>
      <w:r w:rsidRPr="0078021E">
        <w:rPr>
          <w:rFonts w:ascii="Arial" w:hAnsi="Arial" w:cs="Arial"/>
          <w:sz w:val="18"/>
          <w:szCs w:val="18"/>
        </w:rPr>
        <w:t>NL:GHAMS</w:t>
      </w:r>
      <w:proofErr w:type="gramEnd"/>
      <w:r w:rsidRPr="0078021E">
        <w:rPr>
          <w:rFonts w:ascii="Arial" w:hAnsi="Arial" w:cs="Arial"/>
          <w:sz w:val="18"/>
          <w:szCs w:val="18"/>
        </w:rPr>
        <w:t>:2010:BM8012</w:t>
      </w:r>
      <w:r>
        <w:rPr>
          <w:rFonts w:ascii="Arial" w:hAnsi="Arial" w:cs="Arial"/>
          <w:sz w:val="18"/>
          <w:szCs w:val="18"/>
        </w:rPr>
        <w:t xml:space="preserve"> (</w:t>
      </w:r>
      <w:r w:rsidR="0035473F">
        <w:rPr>
          <w:rFonts w:ascii="Arial" w:hAnsi="Arial" w:cs="Arial"/>
          <w:i/>
          <w:sz w:val="18"/>
          <w:szCs w:val="18"/>
        </w:rPr>
        <w:t>Geluidsproducers</w:t>
      </w:r>
      <w:r w:rsidRPr="00B64A87">
        <w:rPr>
          <w:rFonts w:ascii="Arial" w:hAnsi="Arial" w:cs="Arial"/>
          <w:i/>
          <w:sz w:val="18"/>
          <w:szCs w:val="18"/>
        </w:rPr>
        <w:t>./SENA</w:t>
      </w:r>
      <w:r>
        <w:rPr>
          <w:rFonts w:ascii="Arial" w:hAnsi="Arial" w:cs="Arial"/>
          <w:i/>
          <w:sz w:val="18"/>
          <w:szCs w:val="18"/>
        </w:rPr>
        <w:t xml:space="preserve"> II</w:t>
      </w:r>
      <w:r>
        <w:rPr>
          <w:rFonts w:ascii="Arial" w:hAnsi="Arial" w:cs="Arial"/>
          <w:sz w:val="18"/>
          <w:szCs w:val="18"/>
        </w:rPr>
        <w:t>)</w:t>
      </w:r>
      <w:r w:rsidRPr="0078021E">
        <w:rPr>
          <w:rFonts w:ascii="Arial" w:hAnsi="Arial" w:cs="Arial"/>
          <w:sz w:val="18"/>
          <w:szCs w:val="18"/>
        </w:rPr>
        <w:t>,</w:t>
      </w:r>
      <w:r w:rsidR="006B0A5F">
        <w:rPr>
          <w:rFonts w:ascii="Arial" w:hAnsi="Arial" w:cs="Arial"/>
          <w:sz w:val="18"/>
          <w:szCs w:val="18"/>
        </w:rPr>
        <w:t xml:space="preserve"> </w:t>
      </w:r>
      <w:r w:rsidR="006B0A5F" w:rsidRPr="006B0A5F">
        <w:rPr>
          <w:rFonts w:ascii="Arial" w:hAnsi="Arial" w:cs="Arial"/>
          <w:i/>
          <w:sz w:val="18"/>
          <w:szCs w:val="18"/>
        </w:rPr>
        <w:t>AMI</w:t>
      </w:r>
      <w:r w:rsidR="006B0A5F">
        <w:rPr>
          <w:rFonts w:ascii="Arial" w:hAnsi="Arial" w:cs="Arial"/>
          <w:sz w:val="18"/>
          <w:szCs w:val="18"/>
        </w:rPr>
        <w:t xml:space="preserve"> 2010/15, m. </w:t>
      </w:r>
      <w:proofErr w:type="spellStart"/>
      <w:r w:rsidR="006B0A5F">
        <w:rPr>
          <w:rFonts w:ascii="Arial" w:hAnsi="Arial" w:cs="Arial"/>
          <w:sz w:val="18"/>
          <w:szCs w:val="18"/>
        </w:rPr>
        <w:t>nt</w:t>
      </w:r>
      <w:proofErr w:type="spellEnd"/>
      <w:r w:rsidR="006B0A5F">
        <w:rPr>
          <w:rFonts w:ascii="Arial" w:hAnsi="Arial" w:cs="Arial"/>
          <w:sz w:val="18"/>
          <w:szCs w:val="18"/>
        </w:rPr>
        <w:t xml:space="preserve">. </w:t>
      </w:r>
      <w:r w:rsidR="0036242A">
        <w:rPr>
          <w:rFonts w:ascii="Arial" w:hAnsi="Arial" w:cs="Arial"/>
          <w:sz w:val="18"/>
          <w:szCs w:val="18"/>
        </w:rPr>
        <w:t xml:space="preserve">K.J. </w:t>
      </w:r>
      <w:r w:rsidR="006B0A5F">
        <w:rPr>
          <w:rFonts w:ascii="Arial" w:hAnsi="Arial" w:cs="Arial"/>
          <w:sz w:val="18"/>
          <w:szCs w:val="18"/>
        </w:rPr>
        <w:t>Koelman, en</w:t>
      </w:r>
      <w:r w:rsidRPr="0078021E">
        <w:rPr>
          <w:rFonts w:ascii="Arial" w:hAnsi="Arial" w:cs="Arial"/>
          <w:sz w:val="18"/>
          <w:szCs w:val="18"/>
        </w:rPr>
        <w:t xml:space="preserve"> </w:t>
      </w:r>
      <w:r w:rsidRPr="00B64A87">
        <w:rPr>
          <w:rFonts w:ascii="Arial" w:hAnsi="Arial" w:cs="Arial"/>
          <w:i/>
          <w:sz w:val="18"/>
          <w:szCs w:val="18"/>
        </w:rPr>
        <w:t>IER</w:t>
      </w:r>
      <w:r w:rsidRPr="0078021E">
        <w:rPr>
          <w:rFonts w:ascii="Arial" w:hAnsi="Arial" w:cs="Arial"/>
          <w:sz w:val="18"/>
          <w:szCs w:val="18"/>
        </w:rPr>
        <w:t xml:space="preserve"> 2010</w:t>
      </w:r>
      <w:r>
        <w:rPr>
          <w:rFonts w:ascii="Arial" w:hAnsi="Arial" w:cs="Arial"/>
          <w:sz w:val="18"/>
          <w:szCs w:val="18"/>
        </w:rPr>
        <w:t>/</w:t>
      </w:r>
      <w:r w:rsidRPr="0078021E">
        <w:rPr>
          <w:rFonts w:ascii="Arial" w:hAnsi="Arial" w:cs="Arial"/>
          <w:sz w:val="18"/>
          <w:szCs w:val="18"/>
        </w:rPr>
        <w:t xml:space="preserve">79 </w:t>
      </w:r>
      <w:proofErr w:type="spellStart"/>
      <w:r>
        <w:rPr>
          <w:rFonts w:ascii="Arial" w:hAnsi="Arial" w:cs="Arial"/>
          <w:sz w:val="18"/>
          <w:szCs w:val="18"/>
        </w:rPr>
        <w:t>m.nt</w:t>
      </w:r>
      <w:proofErr w:type="spellEnd"/>
      <w:r>
        <w:rPr>
          <w:rFonts w:ascii="Arial" w:hAnsi="Arial" w:cs="Arial"/>
          <w:sz w:val="18"/>
          <w:szCs w:val="18"/>
        </w:rPr>
        <w:t>.</w:t>
      </w:r>
      <w:r w:rsidRPr="0078021E">
        <w:rPr>
          <w:rFonts w:ascii="Arial" w:hAnsi="Arial" w:cs="Arial"/>
          <w:sz w:val="18"/>
          <w:szCs w:val="18"/>
        </w:rPr>
        <w:t xml:space="preserve"> J.M.B. </w:t>
      </w:r>
      <w:proofErr w:type="spellStart"/>
      <w:r w:rsidRPr="0078021E">
        <w:rPr>
          <w:rFonts w:ascii="Arial" w:hAnsi="Arial" w:cs="Arial"/>
          <w:sz w:val="18"/>
          <w:szCs w:val="18"/>
        </w:rPr>
        <w:t>Seignett</w:t>
      </w:r>
      <w:r>
        <w:rPr>
          <w:rFonts w:ascii="Arial" w:hAnsi="Arial" w:cs="Arial"/>
          <w:sz w:val="18"/>
          <w:szCs w:val="18"/>
        </w:rPr>
        <w:t>e</w:t>
      </w:r>
      <w:proofErr w:type="spellEnd"/>
      <w:r>
        <w:rPr>
          <w:rFonts w:ascii="Arial" w:hAnsi="Arial" w:cs="Arial"/>
          <w:sz w:val="18"/>
          <w:szCs w:val="18"/>
        </w:rPr>
        <w:t>.</w:t>
      </w:r>
    </w:p>
  </w:footnote>
  <w:footnote w:id="5">
    <w:p w14:paraId="08E1387C" w14:textId="09E81B6C" w:rsidR="005972D0" w:rsidRPr="002F523D" w:rsidRDefault="005972D0">
      <w:pPr>
        <w:pStyle w:val="Voetnoottekst"/>
        <w:rPr>
          <w:rFonts w:ascii="Arial" w:hAnsi="Arial" w:cs="Arial"/>
          <w:sz w:val="18"/>
          <w:szCs w:val="18"/>
        </w:rPr>
      </w:pPr>
      <w:r w:rsidRPr="002F523D">
        <w:rPr>
          <w:rStyle w:val="Voetnootmarkering"/>
          <w:rFonts w:ascii="Arial" w:hAnsi="Arial" w:cs="Arial"/>
          <w:sz w:val="18"/>
          <w:szCs w:val="18"/>
        </w:rPr>
        <w:footnoteRef/>
      </w:r>
      <w:r w:rsidRPr="002F523D">
        <w:rPr>
          <w:rFonts w:ascii="Arial" w:hAnsi="Arial" w:cs="Arial"/>
          <w:sz w:val="18"/>
          <w:szCs w:val="18"/>
        </w:rPr>
        <w:t xml:space="preserve"> Vgl. </w:t>
      </w:r>
      <w:r>
        <w:rPr>
          <w:rFonts w:ascii="Arial" w:hAnsi="Arial" w:cs="Arial"/>
          <w:sz w:val="18"/>
          <w:szCs w:val="18"/>
        </w:rPr>
        <w:t xml:space="preserve">G.J. </w:t>
      </w:r>
      <w:proofErr w:type="spellStart"/>
      <w:r w:rsidRPr="002F523D">
        <w:rPr>
          <w:rFonts w:ascii="Arial" w:hAnsi="Arial" w:cs="Arial"/>
          <w:sz w:val="18"/>
          <w:szCs w:val="18"/>
        </w:rPr>
        <w:t>Heevel</w:t>
      </w:r>
      <w:proofErr w:type="spellEnd"/>
      <w:r w:rsidRPr="002F523D">
        <w:rPr>
          <w:rFonts w:ascii="Arial" w:hAnsi="Arial" w:cs="Arial"/>
          <w:sz w:val="18"/>
          <w:szCs w:val="18"/>
        </w:rPr>
        <w:t>,</w:t>
      </w:r>
      <w:r>
        <w:rPr>
          <w:rFonts w:ascii="Arial" w:hAnsi="Arial" w:cs="Arial"/>
          <w:sz w:val="18"/>
          <w:szCs w:val="18"/>
        </w:rPr>
        <w:t xml:space="preserve"> ‘De WNR-begrippen “uitvoerend artiest” en “uitvoering” nader beschouwd’,</w:t>
      </w:r>
      <w:r w:rsidRPr="002F523D">
        <w:rPr>
          <w:rFonts w:ascii="Arial" w:hAnsi="Arial" w:cs="Arial"/>
          <w:sz w:val="18"/>
          <w:szCs w:val="18"/>
        </w:rPr>
        <w:t xml:space="preserve"> </w:t>
      </w:r>
      <w:r w:rsidRPr="002F523D">
        <w:rPr>
          <w:rFonts w:ascii="Arial" w:hAnsi="Arial" w:cs="Arial"/>
          <w:i/>
          <w:sz w:val="18"/>
          <w:szCs w:val="18"/>
        </w:rPr>
        <w:t>AMI</w:t>
      </w:r>
      <w:r w:rsidRPr="002F523D">
        <w:rPr>
          <w:rFonts w:ascii="Arial" w:hAnsi="Arial" w:cs="Arial"/>
          <w:sz w:val="18"/>
          <w:szCs w:val="18"/>
        </w:rPr>
        <w:t xml:space="preserve"> 1996, p. 63-67 en J.E. </w:t>
      </w:r>
      <w:proofErr w:type="spellStart"/>
      <w:r w:rsidRPr="002F523D">
        <w:rPr>
          <w:rFonts w:ascii="Arial" w:hAnsi="Arial" w:cs="Arial"/>
          <w:sz w:val="18"/>
          <w:szCs w:val="18"/>
        </w:rPr>
        <w:t>Wintjes</w:t>
      </w:r>
      <w:proofErr w:type="spellEnd"/>
      <w:r w:rsidRPr="002F523D">
        <w:rPr>
          <w:rFonts w:ascii="Arial" w:hAnsi="Arial" w:cs="Arial"/>
          <w:sz w:val="18"/>
          <w:szCs w:val="18"/>
        </w:rPr>
        <w:t>,</w:t>
      </w:r>
      <w:r>
        <w:rPr>
          <w:rFonts w:ascii="Arial" w:hAnsi="Arial" w:cs="Arial"/>
          <w:sz w:val="18"/>
          <w:szCs w:val="18"/>
        </w:rPr>
        <w:t xml:space="preserve"> </w:t>
      </w:r>
      <w:r w:rsidRPr="0068647E">
        <w:rPr>
          <w:rFonts w:ascii="Arial" w:hAnsi="Arial" w:cs="Arial"/>
          <w:i/>
          <w:sz w:val="18"/>
          <w:szCs w:val="18"/>
        </w:rPr>
        <w:t>De rechtspositie van de producer</w:t>
      </w:r>
      <w:r>
        <w:rPr>
          <w:rFonts w:ascii="Arial" w:hAnsi="Arial" w:cs="Arial"/>
          <w:i/>
          <w:sz w:val="18"/>
          <w:szCs w:val="18"/>
        </w:rPr>
        <w:t xml:space="preserve">. Intellectuele eigendomsbescherming voor de geluidsregisseur anno 1997 of </w:t>
      </w:r>
      <w:proofErr w:type="gramStart"/>
      <w:r>
        <w:rPr>
          <w:rFonts w:ascii="Arial" w:hAnsi="Arial" w:cs="Arial"/>
          <w:i/>
          <w:sz w:val="18"/>
          <w:szCs w:val="18"/>
        </w:rPr>
        <w:t>toekomstmuziek?</w:t>
      </w:r>
      <w:r w:rsidRPr="0068647E">
        <w:rPr>
          <w:rFonts w:ascii="Arial" w:hAnsi="Arial" w:cs="Arial"/>
          <w:sz w:val="18"/>
          <w:szCs w:val="18"/>
        </w:rPr>
        <w:t>,</w:t>
      </w:r>
      <w:proofErr w:type="gramEnd"/>
      <w:r w:rsidRPr="0068647E">
        <w:rPr>
          <w:rFonts w:ascii="Arial" w:hAnsi="Arial" w:cs="Arial"/>
          <w:sz w:val="18"/>
          <w:szCs w:val="18"/>
        </w:rPr>
        <w:t xml:space="preserve"> </w:t>
      </w:r>
      <w:r>
        <w:rPr>
          <w:rFonts w:ascii="Arial" w:hAnsi="Arial" w:cs="Arial"/>
          <w:sz w:val="18"/>
          <w:szCs w:val="18"/>
        </w:rPr>
        <w:t>Den Haag: SDU</w:t>
      </w:r>
      <w:r w:rsidRPr="0068647E">
        <w:rPr>
          <w:rFonts w:ascii="Arial" w:hAnsi="Arial" w:cs="Arial"/>
          <w:sz w:val="18"/>
          <w:szCs w:val="18"/>
        </w:rPr>
        <w:t xml:space="preserve"> 1997</w:t>
      </w:r>
      <w:r>
        <w:rPr>
          <w:rFonts w:ascii="Arial" w:hAnsi="Arial" w:cs="Arial"/>
          <w:sz w:val="18"/>
          <w:szCs w:val="18"/>
        </w:rPr>
        <w:t>, p. 61-66</w:t>
      </w:r>
      <w:r w:rsidRPr="002F523D">
        <w:rPr>
          <w:rFonts w:ascii="Arial" w:hAnsi="Arial" w:cs="Arial"/>
          <w:sz w:val="18"/>
          <w:szCs w:val="18"/>
        </w:rPr>
        <w:t xml:space="preserve">. </w:t>
      </w:r>
    </w:p>
  </w:footnote>
  <w:footnote w:id="6">
    <w:p w14:paraId="2B0FC9C2" w14:textId="5F79CB97" w:rsidR="005972D0" w:rsidRDefault="005972D0">
      <w:pPr>
        <w:pStyle w:val="Voetnoottekst"/>
      </w:pPr>
      <w:r w:rsidRPr="00A26F80">
        <w:rPr>
          <w:rStyle w:val="Voetnootmarkering"/>
          <w:rFonts w:ascii="Arial" w:hAnsi="Arial" w:cs="Arial"/>
          <w:sz w:val="18"/>
          <w:szCs w:val="18"/>
        </w:rPr>
        <w:footnoteRef/>
      </w:r>
      <w:r w:rsidRPr="00A26F80">
        <w:rPr>
          <w:rFonts w:ascii="Arial" w:hAnsi="Arial" w:cs="Arial"/>
          <w:sz w:val="18"/>
          <w:szCs w:val="18"/>
        </w:rPr>
        <w:t xml:space="preserve"> </w:t>
      </w:r>
      <w:r>
        <w:rPr>
          <w:rFonts w:ascii="Arial" w:hAnsi="Arial" w:cs="Arial"/>
          <w:sz w:val="18"/>
          <w:szCs w:val="18"/>
        </w:rPr>
        <w:t xml:space="preserve">Vgl. Spoor/Verkade/Visser, </w:t>
      </w:r>
      <w:r w:rsidRPr="00A26F80">
        <w:rPr>
          <w:rFonts w:ascii="Arial" w:hAnsi="Arial" w:cs="Arial"/>
          <w:i/>
          <w:sz w:val="18"/>
          <w:szCs w:val="18"/>
        </w:rPr>
        <w:t>Auteursrecht</w:t>
      </w:r>
      <w:r>
        <w:rPr>
          <w:rFonts w:ascii="Arial" w:hAnsi="Arial" w:cs="Arial"/>
          <w:sz w:val="18"/>
          <w:szCs w:val="18"/>
        </w:rPr>
        <w:t xml:space="preserve">, Deventer: Wolters Kluwer 2019, p. 860 en de </w:t>
      </w:r>
      <w:r w:rsidR="00AD2DE8">
        <w:rPr>
          <w:rFonts w:ascii="Arial" w:hAnsi="Arial" w:cs="Arial"/>
          <w:sz w:val="18"/>
          <w:szCs w:val="18"/>
        </w:rPr>
        <w:t xml:space="preserve">op die pagina </w:t>
      </w:r>
      <w:r>
        <w:rPr>
          <w:rFonts w:ascii="Arial" w:hAnsi="Arial" w:cs="Arial"/>
          <w:sz w:val="18"/>
          <w:szCs w:val="18"/>
        </w:rPr>
        <w:t>bij de noten 96 en 97 genoemde rechtspraak en literatuur.</w:t>
      </w:r>
    </w:p>
  </w:footnote>
  <w:footnote w:id="7">
    <w:p w14:paraId="1D79A468" w14:textId="25ADD689" w:rsidR="00DC16C5" w:rsidRPr="00217197" w:rsidRDefault="00DC16C5">
      <w:pPr>
        <w:pStyle w:val="Voetnoottekst"/>
        <w:rPr>
          <w:rFonts w:ascii="Arial" w:hAnsi="Arial" w:cs="Arial"/>
          <w:sz w:val="18"/>
          <w:szCs w:val="18"/>
        </w:rPr>
      </w:pPr>
      <w:r w:rsidRPr="00217197">
        <w:rPr>
          <w:rStyle w:val="Voetnootmarkering"/>
          <w:rFonts w:ascii="Arial" w:hAnsi="Arial" w:cs="Arial"/>
          <w:sz w:val="18"/>
          <w:szCs w:val="18"/>
        </w:rPr>
        <w:footnoteRef/>
      </w:r>
      <w:r w:rsidRPr="00217197">
        <w:rPr>
          <w:rFonts w:ascii="Arial" w:hAnsi="Arial" w:cs="Arial"/>
          <w:sz w:val="18"/>
          <w:szCs w:val="18"/>
        </w:rPr>
        <w:t xml:space="preserve"> </w:t>
      </w:r>
      <w:r w:rsidR="00217197">
        <w:rPr>
          <w:rFonts w:ascii="ArialMT" w:hAnsi="ArialMT"/>
          <w:sz w:val="18"/>
          <w:szCs w:val="18"/>
        </w:rPr>
        <w:t xml:space="preserve">Directoraat-Generaal Belastingdienst, brief van Minister Zalm van </w:t>
      </w:r>
      <w:proofErr w:type="spellStart"/>
      <w:r w:rsidR="00217197">
        <w:rPr>
          <w:rFonts w:ascii="ArialMT" w:hAnsi="ArialMT"/>
          <w:sz w:val="18"/>
          <w:szCs w:val="18"/>
        </w:rPr>
        <w:t>Financiën</w:t>
      </w:r>
      <w:proofErr w:type="spellEnd"/>
      <w:r w:rsidR="00217197">
        <w:rPr>
          <w:rFonts w:ascii="ArialMT" w:hAnsi="ArialMT"/>
          <w:sz w:val="18"/>
          <w:szCs w:val="18"/>
        </w:rPr>
        <w:t xml:space="preserve"> van 27 november 2006 aan de Voorzitter van de Tweede Kamer der Staten-Generaal, kenmerk DGB 2006-05912.</w:t>
      </w:r>
    </w:p>
  </w:footnote>
  <w:footnote w:id="8">
    <w:p w14:paraId="3536AA18" w14:textId="5B3DB774" w:rsidR="005972D0" w:rsidRPr="0068647E" w:rsidRDefault="005972D0">
      <w:pPr>
        <w:pStyle w:val="Voetnoottekst"/>
        <w:rPr>
          <w:rFonts w:ascii="Arial" w:hAnsi="Arial" w:cs="Arial"/>
          <w:sz w:val="18"/>
          <w:szCs w:val="18"/>
        </w:rPr>
      </w:pPr>
      <w:r w:rsidRPr="0068647E">
        <w:rPr>
          <w:rStyle w:val="Voetnootmarkering"/>
          <w:rFonts w:ascii="Arial" w:hAnsi="Arial" w:cs="Arial"/>
          <w:sz w:val="18"/>
          <w:szCs w:val="18"/>
        </w:rPr>
        <w:footnoteRef/>
      </w:r>
      <w:r w:rsidRPr="0068647E">
        <w:rPr>
          <w:rFonts w:ascii="Arial" w:hAnsi="Arial" w:cs="Arial"/>
          <w:sz w:val="18"/>
          <w:szCs w:val="18"/>
        </w:rPr>
        <w:t xml:space="preserve"> Vgl. </w:t>
      </w:r>
      <w:proofErr w:type="spellStart"/>
      <w:r w:rsidRPr="0068647E">
        <w:rPr>
          <w:rFonts w:ascii="Arial" w:hAnsi="Arial" w:cs="Arial"/>
          <w:sz w:val="18"/>
          <w:szCs w:val="18"/>
        </w:rPr>
        <w:t>Wintjes</w:t>
      </w:r>
      <w:proofErr w:type="spellEnd"/>
      <w:r>
        <w:rPr>
          <w:rFonts w:ascii="Arial" w:hAnsi="Arial" w:cs="Arial"/>
          <w:sz w:val="18"/>
          <w:szCs w:val="18"/>
        </w:rPr>
        <w:t>, supra noot 5, en Rb. Amsterdam 14 juni 2000 (</w:t>
      </w:r>
      <w:r>
        <w:rPr>
          <w:rFonts w:ascii="Arial" w:hAnsi="Arial" w:cs="Arial"/>
          <w:i/>
          <w:sz w:val="18"/>
          <w:szCs w:val="18"/>
        </w:rPr>
        <w:t>Gong</w:t>
      </w:r>
      <w:r w:rsidRPr="000B33C0">
        <w:rPr>
          <w:rFonts w:ascii="Arial" w:hAnsi="Arial" w:cs="Arial"/>
          <w:i/>
          <w:sz w:val="18"/>
          <w:szCs w:val="18"/>
        </w:rPr>
        <w:t>/SENA</w:t>
      </w:r>
      <w:r>
        <w:rPr>
          <w:rFonts w:ascii="Arial" w:hAnsi="Arial" w:cs="Arial"/>
          <w:sz w:val="18"/>
          <w:szCs w:val="18"/>
        </w:rPr>
        <w:t xml:space="preserve">), </w:t>
      </w:r>
      <w:r w:rsidRPr="00395F54">
        <w:rPr>
          <w:rFonts w:ascii="Arial" w:hAnsi="Arial" w:cs="Arial"/>
          <w:i/>
          <w:sz w:val="18"/>
          <w:szCs w:val="18"/>
        </w:rPr>
        <w:t>Informatierecht/AM</w:t>
      </w:r>
      <w:r>
        <w:rPr>
          <w:rFonts w:ascii="Arial" w:hAnsi="Arial" w:cs="Arial"/>
          <w:sz w:val="18"/>
          <w:szCs w:val="18"/>
        </w:rPr>
        <w:t xml:space="preserve">I 2000/9, </w:t>
      </w:r>
      <w:proofErr w:type="spellStart"/>
      <w:r>
        <w:rPr>
          <w:rFonts w:ascii="Arial" w:hAnsi="Arial" w:cs="Arial"/>
          <w:sz w:val="18"/>
          <w:szCs w:val="18"/>
        </w:rPr>
        <w:t>m.nt</w:t>
      </w:r>
      <w:proofErr w:type="spellEnd"/>
      <w:r>
        <w:rPr>
          <w:rFonts w:ascii="Arial" w:hAnsi="Arial" w:cs="Arial"/>
          <w:sz w:val="18"/>
          <w:szCs w:val="18"/>
        </w:rPr>
        <w:t xml:space="preserve">. J.E. </w:t>
      </w:r>
      <w:proofErr w:type="spellStart"/>
      <w:r>
        <w:rPr>
          <w:rFonts w:ascii="Arial" w:hAnsi="Arial" w:cs="Arial"/>
          <w:sz w:val="18"/>
          <w:szCs w:val="18"/>
        </w:rPr>
        <w:t>Wintjes</w:t>
      </w:r>
      <w:proofErr w:type="spellEnd"/>
      <w:r w:rsidRPr="0068647E">
        <w:rPr>
          <w:rFonts w:ascii="Arial" w:hAnsi="Arial" w:cs="Arial"/>
          <w:sz w:val="18"/>
          <w:szCs w:val="18"/>
        </w:rPr>
        <w:t>.</w:t>
      </w:r>
    </w:p>
  </w:footnote>
  <w:footnote w:id="9">
    <w:p w14:paraId="65CC9F3E" w14:textId="290CBAC2" w:rsidR="005972D0" w:rsidRPr="001A54B9" w:rsidRDefault="005972D0">
      <w:pPr>
        <w:pStyle w:val="Voetnoottekst"/>
        <w:rPr>
          <w:rFonts w:ascii="Arial" w:hAnsi="Arial" w:cs="Arial"/>
          <w:sz w:val="18"/>
          <w:szCs w:val="18"/>
        </w:rPr>
      </w:pPr>
      <w:r w:rsidRPr="001A54B9">
        <w:rPr>
          <w:rStyle w:val="Voetnootmarkering"/>
          <w:rFonts w:ascii="Arial" w:hAnsi="Arial" w:cs="Arial"/>
          <w:sz w:val="18"/>
          <w:szCs w:val="18"/>
        </w:rPr>
        <w:footnoteRef/>
      </w:r>
      <w:r w:rsidRPr="001A54B9">
        <w:rPr>
          <w:rFonts w:ascii="Arial" w:hAnsi="Arial" w:cs="Arial"/>
          <w:sz w:val="18"/>
          <w:szCs w:val="18"/>
        </w:rPr>
        <w:t xml:space="preserve"> Vgl. B.H.M. Schipper, ‘Draaikunst of verdraaide kunst? De dj-set als object van het auteursrecht’, </w:t>
      </w:r>
      <w:r w:rsidRPr="001A54B9">
        <w:rPr>
          <w:rFonts w:ascii="Arial" w:hAnsi="Arial" w:cs="Arial"/>
          <w:i/>
          <w:sz w:val="18"/>
          <w:szCs w:val="18"/>
        </w:rPr>
        <w:t>AA</w:t>
      </w:r>
      <w:r w:rsidRPr="001A54B9">
        <w:rPr>
          <w:rFonts w:ascii="Arial" w:hAnsi="Arial" w:cs="Arial"/>
          <w:sz w:val="18"/>
          <w:szCs w:val="18"/>
        </w:rPr>
        <w:t xml:space="preserve"> 2002/3, p. 143-153 en ‘Vertolkers van vinyl. Nabuurrechtelijke aspecten van de dj-set’, </w:t>
      </w:r>
      <w:r w:rsidRPr="001A54B9">
        <w:rPr>
          <w:rFonts w:ascii="Arial" w:hAnsi="Arial" w:cs="Arial"/>
          <w:i/>
          <w:sz w:val="18"/>
          <w:szCs w:val="18"/>
        </w:rPr>
        <w:t>AA</w:t>
      </w:r>
      <w:r w:rsidRPr="001A54B9">
        <w:rPr>
          <w:rFonts w:ascii="Arial" w:hAnsi="Arial" w:cs="Arial"/>
          <w:sz w:val="18"/>
          <w:szCs w:val="18"/>
        </w:rPr>
        <w:t xml:space="preserve"> 2002/4, p. 227-232. </w:t>
      </w:r>
    </w:p>
  </w:footnote>
  <w:footnote w:id="10">
    <w:p w14:paraId="02E732ED" w14:textId="764E67FB" w:rsidR="008825E8" w:rsidRPr="004B2A64" w:rsidRDefault="008825E8">
      <w:pPr>
        <w:pStyle w:val="Voetnoottekst"/>
        <w:rPr>
          <w:rFonts w:ascii="Arial" w:hAnsi="Arial" w:cs="Arial"/>
          <w:sz w:val="18"/>
          <w:szCs w:val="18"/>
        </w:rPr>
      </w:pPr>
      <w:r w:rsidRPr="004B2A64">
        <w:rPr>
          <w:rStyle w:val="Voetnootmarkering"/>
          <w:rFonts w:ascii="Arial" w:hAnsi="Arial" w:cs="Arial"/>
          <w:sz w:val="18"/>
          <w:szCs w:val="18"/>
        </w:rPr>
        <w:footnoteRef/>
      </w:r>
      <w:r w:rsidRPr="004B2A64">
        <w:rPr>
          <w:rFonts w:ascii="Arial" w:hAnsi="Arial" w:cs="Arial"/>
          <w:sz w:val="18"/>
          <w:szCs w:val="18"/>
        </w:rPr>
        <w:t xml:space="preserve"> Vgl. A.M. van </w:t>
      </w:r>
      <w:proofErr w:type="spellStart"/>
      <w:r w:rsidRPr="004B2A64">
        <w:rPr>
          <w:rFonts w:ascii="Arial" w:hAnsi="Arial" w:cs="Arial"/>
          <w:sz w:val="18"/>
          <w:szCs w:val="18"/>
        </w:rPr>
        <w:t>Aerde</w:t>
      </w:r>
      <w:proofErr w:type="spellEnd"/>
      <w:r w:rsidRPr="004B2A64">
        <w:rPr>
          <w:rFonts w:ascii="Arial" w:hAnsi="Arial" w:cs="Arial"/>
          <w:sz w:val="18"/>
          <w:szCs w:val="18"/>
        </w:rPr>
        <w:t xml:space="preserve">, 'De Wet Auteurscontractenrecht', </w:t>
      </w:r>
      <w:r w:rsidRPr="004B2A64">
        <w:rPr>
          <w:rFonts w:ascii="Arial" w:hAnsi="Arial" w:cs="Arial"/>
          <w:i/>
          <w:sz w:val="18"/>
          <w:szCs w:val="18"/>
        </w:rPr>
        <w:t>ORP</w:t>
      </w:r>
      <w:r w:rsidRPr="004B2A64">
        <w:rPr>
          <w:rFonts w:ascii="Arial" w:hAnsi="Arial" w:cs="Arial"/>
          <w:sz w:val="18"/>
          <w:szCs w:val="18"/>
        </w:rPr>
        <w:t xml:space="preserve"> 2016/40.</w:t>
      </w:r>
    </w:p>
  </w:footnote>
  <w:footnote w:id="11">
    <w:p w14:paraId="4CD66A2C" w14:textId="6C5787F5" w:rsidR="005972D0" w:rsidRPr="00A94CE3" w:rsidRDefault="005972D0">
      <w:pPr>
        <w:pStyle w:val="Voetnoottekst"/>
        <w:rPr>
          <w:rFonts w:ascii="Arial" w:hAnsi="Arial" w:cs="Arial"/>
          <w:sz w:val="18"/>
          <w:szCs w:val="18"/>
        </w:rPr>
      </w:pPr>
      <w:r w:rsidRPr="00A94CE3">
        <w:rPr>
          <w:rStyle w:val="Voetnootmarkering"/>
          <w:rFonts w:ascii="Arial" w:hAnsi="Arial" w:cs="Arial"/>
          <w:sz w:val="18"/>
          <w:szCs w:val="18"/>
        </w:rPr>
        <w:footnoteRef/>
      </w:r>
      <w:r w:rsidRPr="00A94CE3">
        <w:rPr>
          <w:rFonts w:ascii="Arial" w:hAnsi="Arial" w:cs="Arial"/>
          <w:sz w:val="18"/>
          <w:szCs w:val="18"/>
        </w:rPr>
        <w:t xml:space="preserve"> Vgl. D.J.G. Visser, </w:t>
      </w:r>
      <w:r w:rsidRPr="00A94CE3">
        <w:rPr>
          <w:rFonts w:ascii="Arial" w:hAnsi="Arial" w:cs="Arial"/>
          <w:i/>
          <w:sz w:val="18"/>
          <w:szCs w:val="18"/>
        </w:rPr>
        <w:t>T&amp;C Intellectuele eigendom</w:t>
      </w:r>
      <w:r w:rsidRPr="00A94CE3">
        <w:rPr>
          <w:rFonts w:ascii="Arial" w:hAnsi="Arial" w:cs="Arial"/>
          <w:sz w:val="18"/>
          <w:szCs w:val="18"/>
        </w:rPr>
        <w:t>, Deventer: Wolters Kluwer 2019, aantekening 1</w:t>
      </w:r>
      <w:r>
        <w:rPr>
          <w:rFonts w:ascii="Arial" w:hAnsi="Arial" w:cs="Arial"/>
          <w:sz w:val="18"/>
          <w:szCs w:val="18"/>
        </w:rPr>
        <w:t xml:space="preserve">, </w:t>
      </w:r>
      <w:r w:rsidRPr="00A94CE3">
        <w:rPr>
          <w:rFonts w:ascii="Arial" w:hAnsi="Arial" w:cs="Arial"/>
          <w:sz w:val="18"/>
          <w:szCs w:val="18"/>
        </w:rPr>
        <w:t>2</w:t>
      </w:r>
      <w:r>
        <w:rPr>
          <w:rFonts w:ascii="Arial" w:hAnsi="Arial" w:cs="Arial"/>
          <w:sz w:val="18"/>
          <w:szCs w:val="18"/>
        </w:rPr>
        <w:t xml:space="preserve"> en 4</w:t>
      </w:r>
      <w:r w:rsidRPr="00A94CE3">
        <w:rPr>
          <w:rFonts w:ascii="Arial" w:hAnsi="Arial" w:cs="Arial"/>
          <w:sz w:val="18"/>
          <w:szCs w:val="18"/>
        </w:rPr>
        <w:t xml:space="preserve"> bij artikel 25b </w:t>
      </w:r>
      <w:proofErr w:type="spellStart"/>
      <w:r w:rsidRPr="00A94CE3">
        <w:rPr>
          <w:rFonts w:ascii="Arial" w:hAnsi="Arial" w:cs="Arial"/>
          <w:sz w:val="18"/>
          <w:szCs w:val="18"/>
        </w:rPr>
        <w:t>Aw</w:t>
      </w:r>
      <w:proofErr w:type="spellEnd"/>
      <w:r w:rsidRPr="00A94CE3">
        <w:rPr>
          <w:rFonts w:ascii="Arial" w:hAnsi="Arial" w:cs="Arial"/>
          <w:sz w:val="18"/>
          <w:szCs w:val="18"/>
        </w:rPr>
        <w:t>, p. 90-91.</w:t>
      </w:r>
    </w:p>
  </w:footnote>
  <w:footnote w:id="12">
    <w:p w14:paraId="57CBAF63" w14:textId="44424D8E" w:rsidR="005972D0" w:rsidRDefault="005972D0">
      <w:pPr>
        <w:pStyle w:val="Voetnoottekst"/>
      </w:pPr>
      <w:r w:rsidRPr="004B1C01">
        <w:rPr>
          <w:rStyle w:val="Voetnootmarkering"/>
          <w:rFonts w:ascii="Arial" w:hAnsi="Arial" w:cs="Arial"/>
          <w:sz w:val="18"/>
          <w:szCs w:val="18"/>
        </w:rPr>
        <w:footnoteRef/>
      </w:r>
      <w:r w:rsidRPr="004B1C01">
        <w:rPr>
          <w:rFonts w:ascii="Arial" w:hAnsi="Arial" w:cs="Arial"/>
          <w:sz w:val="18"/>
          <w:szCs w:val="18"/>
        </w:rPr>
        <w:t xml:space="preserve"> </w:t>
      </w:r>
      <w:r>
        <w:rPr>
          <w:rFonts w:ascii="Arial" w:hAnsi="Arial" w:cs="Arial"/>
          <w:sz w:val="18"/>
          <w:szCs w:val="18"/>
        </w:rPr>
        <w:t xml:space="preserve">D.J.G. Visser e.a., </w:t>
      </w:r>
      <w:r w:rsidRPr="004A41DA">
        <w:rPr>
          <w:rFonts w:ascii="Arial" w:hAnsi="Arial" w:cs="Arial"/>
          <w:i/>
          <w:sz w:val="18"/>
          <w:szCs w:val="18"/>
        </w:rPr>
        <w:t>Auteurscontractenrecht</w:t>
      </w:r>
      <w:r>
        <w:rPr>
          <w:rFonts w:ascii="Arial" w:hAnsi="Arial" w:cs="Arial"/>
          <w:sz w:val="18"/>
          <w:szCs w:val="18"/>
        </w:rPr>
        <w:t xml:space="preserve">, Amsterdam: </w:t>
      </w:r>
      <w:proofErr w:type="spellStart"/>
      <w:r>
        <w:rPr>
          <w:rFonts w:ascii="Arial" w:hAnsi="Arial" w:cs="Arial"/>
          <w:sz w:val="18"/>
          <w:szCs w:val="18"/>
        </w:rPr>
        <w:t>deLex</w:t>
      </w:r>
      <w:proofErr w:type="spellEnd"/>
      <w:r>
        <w:rPr>
          <w:rFonts w:ascii="Arial" w:hAnsi="Arial" w:cs="Arial"/>
          <w:sz w:val="18"/>
          <w:szCs w:val="18"/>
        </w:rPr>
        <w:t xml:space="preserve"> 2016, </w:t>
      </w:r>
      <w:proofErr w:type="spellStart"/>
      <w:r>
        <w:rPr>
          <w:rFonts w:ascii="Arial" w:hAnsi="Arial" w:cs="Arial"/>
          <w:sz w:val="18"/>
          <w:szCs w:val="18"/>
        </w:rPr>
        <w:t>MvT</w:t>
      </w:r>
      <w:proofErr w:type="spellEnd"/>
      <w:r>
        <w:rPr>
          <w:rFonts w:ascii="Arial" w:hAnsi="Arial" w:cs="Arial"/>
          <w:sz w:val="18"/>
          <w:szCs w:val="18"/>
        </w:rPr>
        <w:t xml:space="preserve"> artikel 25b </w:t>
      </w:r>
      <w:proofErr w:type="spellStart"/>
      <w:r>
        <w:rPr>
          <w:rFonts w:ascii="Arial" w:hAnsi="Arial" w:cs="Arial"/>
          <w:sz w:val="18"/>
          <w:szCs w:val="18"/>
        </w:rPr>
        <w:t>Aw</w:t>
      </w:r>
      <w:proofErr w:type="spellEnd"/>
      <w:r>
        <w:rPr>
          <w:rFonts w:ascii="Arial" w:hAnsi="Arial" w:cs="Arial"/>
          <w:sz w:val="18"/>
          <w:szCs w:val="18"/>
        </w:rPr>
        <w:t>, p. 54-56.</w:t>
      </w:r>
    </w:p>
  </w:footnote>
  <w:footnote w:id="13">
    <w:p w14:paraId="706F5737" w14:textId="6A95055B" w:rsidR="005972D0" w:rsidRDefault="005972D0">
      <w:pPr>
        <w:pStyle w:val="Voetnoottekst"/>
      </w:pPr>
      <w:r w:rsidRPr="00A355C7">
        <w:rPr>
          <w:rStyle w:val="Voetnootmarkering"/>
          <w:rFonts w:ascii="Arial" w:hAnsi="Arial" w:cs="Arial"/>
          <w:sz w:val="18"/>
          <w:szCs w:val="18"/>
        </w:rPr>
        <w:footnoteRef/>
      </w:r>
      <w:r w:rsidRPr="00A355C7">
        <w:rPr>
          <w:rFonts w:ascii="Arial" w:hAnsi="Arial" w:cs="Arial"/>
          <w:sz w:val="18"/>
          <w:szCs w:val="18"/>
        </w:rPr>
        <w:t xml:space="preserve"> Vgl. </w:t>
      </w:r>
      <w:r>
        <w:rPr>
          <w:rFonts w:ascii="Arial" w:hAnsi="Arial" w:cs="Arial"/>
          <w:sz w:val="18"/>
          <w:szCs w:val="18"/>
        </w:rPr>
        <w:t xml:space="preserve">D.J.G. Visser e.a., </w:t>
      </w:r>
      <w:r w:rsidRPr="004A41DA">
        <w:rPr>
          <w:rFonts w:ascii="Arial" w:hAnsi="Arial" w:cs="Arial"/>
          <w:i/>
          <w:sz w:val="18"/>
          <w:szCs w:val="18"/>
        </w:rPr>
        <w:t>Auteurscontractenrecht</w:t>
      </w:r>
      <w:r>
        <w:rPr>
          <w:rFonts w:ascii="Arial" w:hAnsi="Arial" w:cs="Arial"/>
          <w:sz w:val="18"/>
          <w:szCs w:val="18"/>
        </w:rPr>
        <w:t xml:space="preserve">, Amsterdam: </w:t>
      </w:r>
      <w:proofErr w:type="spellStart"/>
      <w:r>
        <w:rPr>
          <w:rFonts w:ascii="Arial" w:hAnsi="Arial" w:cs="Arial"/>
          <w:sz w:val="18"/>
          <w:szCs w:val="18"/>
        </w:rPr>
        <w:t>deLex</w:t>
      </w:r>
      <w:proofErr w:type="spellEnd"/>
      <w:r>
        <w:rPr>
          <w:rFonts w:ascii="Arial" w:hAnsi="Arial" w:cs="Arial"/>
          <w:sz w:val="18"/>
          <w:szCs w:val="18"/>
        </w:rPr>
        <w:t xml:space="preserve"> 2016, </w:t>
      </w:r>
      <w:proofErr w:type="spellStart"/>
      <w:r>
        <w:rPr>
          <w:rFonts w:ascii="Arial" w:hAnsi="Arial" w:cs="Arial"/>
          <w:sz w:val="18"/>
          <w:szCs w:val="18"/>
        </w:rPr>
        <w:t>MvT</w:t>
      </w:r>
      <w:proofErr w:type="spellEnd"/>
      <w:r>
        <w:rPr>
          <w:rFonts w:ascii="Arial" w:hAnsi="Arial" w:cs="Arial"/>
          <w:sz w:val="18"/>
          <w:szCs w:val="18"/>
        </w:rPr>
        <w:t xml:space="preserve"> </w:t>
      </w:r>
      <w:r w:rsidRPr="00A355C7">
        <w:rPr>
          <w:rFonts w:ascii="Arial" w:hAnsi="Arial" w:cs="Arial"/>
          <w:sz w:val="18"/>
          <w:szCs w:val="18"/>
        </w:rPr>
        <w:t>arti</w:t>
      </w:r>
      <w:r>
        <w:rPr>
          <w:rFonts w:ascii="Arial" w:hAnsi="Arial" w:cs="Arial"/>
          <w:sz w:val="18"/>
          <w:szCs w:val="18"/>
        </w:rPr>
        <w:t xml:space="preserve">kel 25f </w:t>
      </w:r>
      <w:proofErr w:type="spellStart"/>
      <w:r>
        <w:rPr>
          <w:rFonts w:ascii="Arial" w:hAnsi="Arial" w:cs="Arial"/>
          <w:sz w:val="18"/>
          <w:szCs w:val="18"/>
        </w:rPr>
        <w:t>Aw</w:t>
      </w:r>
      <w:proofErr w:type="spellEnd"/>
      <w:r>
        <w:rPr>
          <w:rFonts w:ascii="Arial" w:hAnsi="Arial" w:cs="Arial"/>
          <w:sz w:val="18"/>
          <w:szCs w:val="18"/>
        </w:rPr>
        <w:t>, p. 189-190.</w:t>
      </w:r>
    </w:p>
  </w:footnote>
  <w:footnote w:id="14">
    <w:p w14:paraId="145CEAB5" w14:textId="77777777" w:rsidR="0051000D" w:rsidRPr="0069585A" w:rsidRDefault="0051000D" w:rsidP="0051000D">
      <w:pPr>
        <w:pStyle w:val="Voetnoottekst"/>
        <w:rPr>
          <w:rFonts w:ascii="Arial" w:hAnsi="Arial" w:cs="Arial"/>
          <w:sz w:val="18"/>
          <w:szCs w:val="18"/>
        </w:rPr>
      </w:pPr>
      <w:r w:rsidRPr="0069585A">
        <w:rPr>
          <w:rStyle w:val="Voetnootmarkering"/>
          <w:rFonts w:ascii="Arial" w:hAnsi="Arial" w:cs="Arial"/>
          <w:sz w:val="18"/>
          <w:szCs w:val="18"/>
        </w:rPr>
        <w:footnoteRef/>
      </w:r>
      <w:r w:rsidRPr="0069585A">
        <w:rPr>
          <w:rFonts w:ascii="Arial" w:hAnsi="Arial" w:cs="Arial"/>
          <w:sz w:val="18"/>
          <w:szCs w:val="18"/>
        </w:rPr>
        <w:t xml:space="preserve"> </w:t>
      </w:r>
      <w:r>
        <w:rPr>
          <w:rFonts w:ascii="Arial" w:hAnsi="Arial" w:cs="Arial"/>
          <w:sz w:val="18"/>
          <w:szCs w:val="18"/>
        </w:rPr>
        <w:t>Vgl. Verkade/</w:t>
      </w:r>
      <w:r w:rsidRPr="0069585A">
        <w:rPr>
          <w:rFonts w:ascii="Arial" w:hAnsi="Arial" w:cs="Arial"/>
          <w:sz w:val="18"/>
          <w:szCs w:val="18"/>
        </w:rPr>
        <w:t>Visser</w:t>
      </w:r>
      <w:r>
        <w:rPr>
          <w:rFonts w:ascii="Arial" w:hAnsi="Arial" w:cs="Arial"/>
          <w:sz w:val="18"/>
          <w:szCs w:val="18"/>
        </w:rPr>
        <w:t xml:space="preserve">, </w:t>
      </w:r>
      <w:r w:rsidRPr="001F0257">
        <w:rPr>
          <w:rFonts w:ascii="Arial" w:hAnsi="Arial" w:cs="Arial"/>
          <w:i/>
          <w:sz w:val="18"/>
          <w:szCs w:val="18"/>
        </w:rPr>
        <w:t>Parlementaire geschiedenis van de Wet op de naburige rechten</w:t>
      </w:r>
      <w:r>
        <w:rPr>
          <w:rFonts w:ascii="Arial" w:hAnsi="Arial" w:cs="Arial"/>
          <w:sz w:val="18"/>
          <w:szCs w:val="18"/>
        </w:rPr>
        <w:t>, Delft: Delftse Academische Pers 1993 p. 60.</w:t>
      </w:r>
    </w:p>
  </w:footnote>
  <w:footnote w:id="15">
    <w:p w14:paraId="1645349A" w14:textId="4ED5A63D" w:rsidR="00802C96" w:rsidRPr="00802C96" w:rsidRDefault="00802C96">
      <w:pPr>
        <w:pStyle w:val="Voetnoottekst"/>
        <w:rPr>
          <w:rFonts w:ascii="Arial" w:hAnsi="Arial" w:cs="Arial"/>
          <w:sz w:val="18"/>
          <w:szCs w:val="18"/>
        </w:rPr>
      </w:pPr>
      <w:r w:rsidRPr="00802C96">
        <w:rPr>
          <w:rStyle w:val="Voetnootmarkering"/>
          <w:rFonts w:ascii="Arial" w:hAnsi="Arial" w:cs="Arial"/>
          <w:sz w:val="18"/>
          <w:szCs w:val="18"/>
        </w:rPr>
        <w:footnoteRef/>
      </w:r>
      <w:r w:rsidRPr="00802C96">
        <w:rPr>
          <w:rFonts w:ascii="Arial" w:hAnsi="Arial" w:cs="Arial"/>
          <w:sz w:val="18"/>
          <w:szCs w:val="18"/>
        </w:rPr>
        <w:t xml:space="preserve"> Meer in het bijzonder </w:t>
      </w:r>
      <w:r w:rsidR="00786387">
        <w:rPr>
          <w:rFonts w:ascii="Arial" w:hAnsi="Arial" w:cs="Arial"/>
          <w:sz w:val="18"/>
          <w:szCs w:val="18"/>
        </w:rPr>
        <w:t xml:space="preserve">artikel 3 van het Verdrag </w:t>
      </w:r>
      <w:r w:rsidR="00786387" w:rsidRPr="00802C96">
        <w:rPr>
          <w:rFonts w:ascii="Arial" w:hAnsi="Arial" w:cs="Arial"/>
          <w:sz w:val="18"/>
          <w:szCs w:val="18"/>
        </w:rPr>
        <w:t>van Rome</w:t>
      </w:r>
      <w:r w:rsidR="00786387">
        <w:rPr>
          <w:rFonts w:ascii="Arial" w:hAnsi="Arial" w:cs="Arial"/>
          <w:sz w:val="18"/>
          <w:szCs w:val="18"/>
        </w:rPr>
        <w:t xml:space="preserve"> 1961</w:t>
      </w:r>
      <w:r w:rsidR="00786387" w:rsidRPr="00802C96">
        <w:rPr>
          <w:rFonts w:ascii="Arial" w:hAnsi="Arial" w:cs="Arial"/>
          <w:sz w:val="18"/>
          <w:szCs w:val="18"/>
        </w:rPr>
        <w:t xml:space="preserve"> (</w:t>
      </w:r>
      <w:proofErr w:type="spellStart"/>
      <w:r w:rsidR="00786387">
        <w:rPr>
          <w:rFonts w:ascii="Arial" w:hAnsi="Arial" w:cs="Arial"/>
          <w:sz w:val="18"/>
          <w:szCs w:val="18"/>
        </w:rPr>
        <w:t>V</w:t>
      </w:r>
      <w:r w:rsidR="00786387" w:rsidRPr="00802C96">
        <w:rPr>
          <w:rFonts w:ascii="Arial" w:hAnsi="Arial" w:cs="Arial"/>
          <w:sz w:val="18"/>
          <w:szCs w:val="18"/>
        </w:rPr>
        <w:t>vR</w:t>
      </w:r>
      <w:proofErr w:type="spellEnd"/>
      <w:r w:rsidR="00786387" w:rsidRPr="00802C96">
        <w:rPr>
          <w:rFonts w:ascii="Arial" w:hAnsi="Arial" w:cs="Arial"/>
          <w:sz w:val="18"/>
          <w:szCs w:val="18"/>
        </w:rPr>
        <w:t>)</w:t>
      </w:r>
      <w:r w:rsidR="00786387">
        <w:rPr>
          <w:rFonts w:ascii="Arial" w:hAnsi="Arial" w:cs="Arial"/>
          <w:sz w:val="18"/>
          <w:szCs w:val="18"/>
        </w:rPr>
        <w:t xml:space="preserve">, </w:t>
      </w:r>
      <w:r w:rsidRPr="00802C96">
        <w:rPr>
          <w:rFonts w:ascii="Arial" w:hAnsi="Arial" w:cs="Arial"/>
          <w:sz w:val="18"/>
          <w:szCs w:val="18"/>
        </w:rPr>
        <w:t xml:space="preserve">de </w:t>
      </w:r>
      <w:r w:rsidR="00786387">
        <w:rPr>
          <w:rFonts w:ascii="Arial" w:hAnsi="Arial" w:cs="Arial"/>
          <w:sz w:val="18"/>
          <w:szCs w:val="18"/>
        </w:rPr>
        <w:t>R</w:t>
      </w:r>
      <w:r w:rsidRPr="00802C96">
        <w:rPr>
          <w:rFonts w:ascii="Arial" w:hAnsi="Arial" w:cs="Arial"/>
          <w:sz w:val="18"/>
          <w:szCs w:val="18"/>
        </w:rPr>
        <w:t>ichtlijn</w:t>
      </w:r>
      <w:r w:rsidR="00E91C5E">
        <w:rPr>
          <w:rFonts w:ascii="Arial" w:hAnsi="Arial" w:cs="Arial"/>
          <w:sz w:val="18"/>
          <w:szCs w:val="18"/>
        </w:rPr>
        <w:t>en</w:t>
      </w:r>
      <w:r w:rsidRPr="00802C96">
        <w:rPr>
          <w:rFonts w:ascii="Arial" w:hAnsi="Arial" w:cs="Arial"/>
          <w:sz w:val="18"/>
          <w:szCs w:val="18"/>
        </w:rPr>
        <w:t xml:space="preserve"> 92/100 EEG</w:t>
      </w:r>
      <w:r w:rsidR="00E91C5E">
        <w:rPr>
          <w:rFonts w:ascii="Arial" w:hAnsi="Arial" w:cs="Arial"/>
          <w:sz w:val="18"/>
          <w:szCs w:val="18"/>
        </w:rPr>
        <w:t xml:space="preserve"> </w:t>
      </w:r>
      <w:r w:rsidRPr="00802C96">
        <w:rPr>
          <w:rFonts w:ascii="Arial" w:hAnsi="Arial" w:cs="Arial"/>
          <w:sz w:val="18"/>
          <w:szCs w:val="18"/>
        </w:rPr>
        <w:t>en 2006/115 EG</w:t>
      </w:r>
      <w:r w:rsidR="00764D87">
        <w:rPr>
          <w:rFonts w:ascii="Arial" w:hAnsi="Arial" w:cs="Arial"/>
          <w:sz w:val="18"/>
          <w:szCs w:val="18"/>
        </w:rPr>
        <w:t xml:space="preserve"> vanwege de invoering van het naburige recht in de EU</w:t>
      </w:r>
      <w:r w:rsidRPr="00802C96">
        <w:rPr>
          <w:rFonts w:ascii="Arial" w:hAnsi="Arial" w:cs="Arial"/>
          <w:sz w:val="18"/>
          <w:szCs w:val="18"/>
        </w:rPr>
        <w:t xml:space="preserve"> en </w:t>
      </w:r>
      <w:r w:rsidR="00786387">
        <w:rPr>
          <w:rFonts w:ascii="Arial" w:hAnsi="Arial" w:cs="Arial"/>
          <w:sz w:val="18"/>
          <w:szCs w:val="18"/>
        </w:rPr>
        <w:t xml:space="preserve">artikel 2 van </w:t>
      </w:r>
      <w:r w:rsidR="000F2444">
        <w:rPr>
          <w:rFonts w:ascii="Arial" w:hAnsi="Arial" w:cs="Arial"/>
          <w:sz w:val="18"/>
          <w:szCs w:val="18"/>
        </w:rPr>
        <w:t xml:space="preserve">het </w:t>
      </w:r>
      <w:r w:rsidRPr="00802C96">
        <w:rPr>
          <w:rFonts w:ascii="Arial" w:hAnsi="Arial" w:cs="Arial"/>
          <w:sz w:val="18"/>
          <w:szCs w:val="18"/>
        </w:rPr>
        <w:t xml:space="preserve">WIPO </w:t>
      </w:r>
      <w:r>
        <w:rPr>
          <w:rFonts w:ascii="Arial" w:hAnsi="Arial" w:cs="Arial"/>
          <w:sz w:val="18"/>
          <w:szCs w:val="18"/>
        </w:rPr>
        <w:t>Uitvoeringen en Fonogrammen Verdrag</w:t>
      </w:r>
      <w:r w:rsidRPr="00802C96">
        <w:rPr>
          <w:rFonts w:ascii="Arial" w:hAnsi="Arial" w:cs="Arial"/>
          <w:sz w:val="18"/>
          <w:szCs w:val="18"/>
        </w:rPr>
        <w:t xml:space="preserve"> 1996 (WPPT).</w:t>
      </w:r>
    </w:p>
  </w:footnote>
  <w:footnote w:id="16">
    <w:p w14:paraId="6C02FD3D" w14:textId="4AA28E2A" w:rsidR="005972D0" w:rsidRPr="000B33C0" w:rsidRDefault="005972D0">
      <w:pPr>
        <w:pStyle w:val="Voetnoottekst"/>
        <w:rPr>
          <w:rFonts w:ascii="Arial" w:hAnsi="Arial" w:cs="Arial"/>
          <w:sz w:val="18"/>
          <w:szCs w:val="18"/>
        </w:rPr>
      </w:pPr>
      <w:r w:rsidRPr="000B33C0">
        <w:rPr>
          <w:rStyle w:val="Voetnootmarkering"/>
          <w:rFonts w:ascii="Arial" w:hAnsi="Arial" w:cs="Arial"/>
          <w:sz w:val="18"/>
          <w:szCs w:val="18"/>
        </w:rPr>
        <w:footnoteRef/>
      </w:r>
      <w:r w:rsidRPr="000B33C0">
        <w:rPr>
          <w:rFonts w:ascii="Arial" w:hAnsi="Arial" w:cs="Arial"/>
          <w:sz w:val="18"/>
          <w:szCs w:val="18"/>
        </w:rPr>
        <w:t xml:space="preserve"> </w:t>
      </w:r>
      <w:proofErr w:type="spellStart"/>
      <w:r w:rsidRPr="000B33C0">
        <w:rPr>
          <w:rFonts w:ascii="Arial" w:hAnsi="Arial" w:cs="Arial"/>
          <w:sz w:val="18"/>
          <w:szCs w:val="18"/>
        </w:rPr>
        <w:t>HvJEU</w:t>
      </w:r>
      <w:proofErr w:type="spellEnd"/>
      <w:r w:rsidRPr="000B33C0">
        <w:rPr>
          <w:rFonts w:ascii="Arial" w:hAnsi="Arial" w:cs="Arial"/>
          <w:sz w:val="18"/>
          <w:szCs w:val="18"/>
        </w:rPr>
        <w:t xml:space="preserve"> 15 maart 2012, zaak C-135/10, ECLI:EU:C:2012:140 (</w:t>
      </w:r>
      <w:r w:rsidRPr="000B33C0">
        <w:rPr>
          <w:rFonts w:ascii="Arial" w:hAnsi="Arial" w:cs="Arial"/>
          <w:i/>
          <w:sz w:val="18"/>
          <w:szCs w:val="18"/>
        </w:rPr>
        <w:t>Marco del Corso</w:t>
      </w:r>
      <w:r w:rsidRPr="000B33C0">
        <w:rPr>
          <w:rFonts w:ascii="Arial" w:hAnsi="Arial" w:cs="Arial"/>
          <w:sz w:val="18"/>
          <w:szCs w:val="18"/>
        </w:rPr>
        <w:t>)</w:t>
      </w:r>
      <w:r w:rsidR="00764D87">
        <w:rPr>
          <w:rFonts w:ascii="Arial" w:hAnsi="Arial" w:cs="Arial"/>
          <w:sz w:val="18"/>
          <w:szCs w:val="18"/>
        </w:rPr>
        <w:t xml:space="preserve"> en </w:t>
      </w:r>
      <w:proofErr w:type="spellStart"/>
      <w:r w:rsidR="00764D87">
        <w:rPr>
          <w:rFonts w:ascii="Arial" w:hAnsi="Arial" w:cs="Arial"/>
          <w:sz w:val="18"/>
          <w:szCs w:val="18"/>
        </w:rPr>
        <w:t>HvJEU</w:t>
      </w:r>
      <w:proofErr w:type="spellEnd"/>
      <w:r w:rsidR="00764D87">
        <w:rPr>
          <w:rFonts w:ascii="Arial" w:hAnsi="Arial" w:cs="Arial"/>
          <w:sz w:val="18"/>
          <w:szCs w:val="18"/>
        </w:rPr>
        <w:t xml:space="preserve"> 16 februari 2017, zaak C-641/15</w:t>
      </w:r>
      <w:r w:rsidR="00C814B6">
        <w:rPr>
          <w:rFonts w:ascii="Arial" w:hAnsi="Arial" w:cs="Arial"/>
          <w:sz w:val="18"/>
          <w:szCs w:val="18"/>
        </w:rPr>
        <w:t>, ECLI:</w:t>
      </w:r>
      <w:r w:rsidR="00CA225D">
        <w:rPr>
          <w:rFonts w:ascii="Arial" w:hAnsi="Arial" w:cs="Arial"/>
          <w:sz w:val="18"/>
          <w:szCs w:val="18"/>
        </w:rPr>
        <w:t>EU:C:2017:131</w:t>
      </w:r>
      <w:r w:rsidR="00764D87">
        <w:rPr>
          <w:rFonts w:ascii="Arial" w:hAnsi="Arial" w:cs="Arial"/>
          <w:sz w:val="18"/>
          <w:szCs w:val="18"/>
        </w:rPr>
        <w:t xml:space="preserve"> (</w:t>
      </w:r>
      <w:r w:rsidR="00764D87" w:rsidRPr="00764D87">
        <w:rPr>
          <w:rFonts w:ascii="Arial" w:hAnsi="Arial" w:cs="Arial"/>
          <w:i/>
          <w:sz w:val="18"/>
          <w:szCs w:val="18"/>
        </w:rPr>
        <w:t>Hotel Edelweiss</w:t>
      </w:r>
      <w:r w:rsidR="00764D87">
        <w:rPr>
          <w:rFonts w:ascii="Arial" w:hAnsi="Arial" w:cs="Arial"/>
          <w:sz w:val="18"/>
          <w:szCs w:val="18"/>
        </w:rPr>
        <w:t>)</w:t>
      </w:r>
      <w:r w:rsidRPr="000B33C0">
        <w:rPr>
          <w:rFonts w:ascii="Arial" w:hAnsi="Arial" w:cs="Arial"/>
          <w:sz w:val="18"/>
          <w:szCs w:val="18"/>
        </w:rPr>
        <w:t>.</w:t>
      </w:r>
    </w:p>
  </w:footnote>
  <w:footnote w:id="17">
    <w:p w14:paraId="1EF57995" w14:textId="77777777" w:rsidR="00EA5D3A" w:rsidRDefault="00EA5D3A" w:rsidP="00EA5D3A">
      <w:pPr>
        <w:pStyle w:val="Voetnoottekst"/>
      </w:pPr>
      <w:r w:rsidRPr="003A6DAE">
        <w:rPr>
          <w:rStyle w:val="Voetnootmarkering"/>
          <w:rFonts w:ascii="Arial" w:hAnsi="Arial" w:cs="Arial"/>
          <w:sz w:val="18"/>
          <w:szCs w:val="18"/>
        </w:rPr>
        <w:footnoteRef/>
      </w:r>
      <w:r w:rsidRPr="003A6DAE">
        <w:rPr>
          <w:rFonts w:ascii="Arial" w:hAnsi="Arial" w:cs="Arial"/>
          <w:sz w:val="18"/>
          <w:szCs w:val="18"/>
        </w:rPr>
        <w:t xml:space="preserve"> </w:t>
      </w:r>
      <w:r w:rsidRPr="00A644A6">
        <w:rPr>
          <w:rFonts w:ascii="Arial" w:hAnsi="Arial" w:cs="Arial"/>
          <w:sz w:val="18"/>
          <w:szCs w:val="18"/>
        </w:rPr>
        <w:t xml:space="preserve">Vgl. M.T.M </w:t>
      </w:r>
      <w:proofErr w:type="spellStart"/>
      <w:r w:rsidRPr="00A644A6">
        <w:rPr>
          <w:rFonts w:ascii="Arial" w:hAnsi="Arial" w:cs="Arial"/>
          <w:sz w:val="18"/>
          <w:szCs w:val="18"/>
        </w:rPr>
        <w:t>Koedooder</w:t>
      </w:r>
      <w:proofErr w:type="spellEnd"/>
      <w:r w:rsidRPr="00A644A6">
        <w:rPr>
          <w:rFonts w:ascii="Arial" w:hAnsi="Arial" w:cs="Arial"/>
          <w:sz w:val="18"/>
          <w:szCs w:val="18"/>
        </w:rPr>
        <w:t xml:space="preserve">, ‘Dit kunnen we leren van de zaak </w:t>
      </w:r>
      <w:proofErr w:type="spellStart"/>
      <w:r w:rsidRPr="00A644A6">
        <w:rPr>
          <w:rFonts w:ascii="Arial" w:hAnsi="Arial" w:cs="Arial"/>
          <w:sz w:val="18"/>
          <w:szCs w:val="18"/>
        </w:rPr>
        <w:t>Garrix</w:t>
      </w:r>
      <w:proofErr w:type="spellEnd"/>
      <w:r w:rsidRPr="00A644A6">
        <w:rPr>
          <w:rFonts w:ascii="Arial" w:hAnsi="Arial" w:cs="Arial"/>
          <w:sz w:val="18"/>
          <w:szCs w:val="18"/>
        </w:rPr>
        <w:t xml:space="preserve">’, </w:t>
      </w:r>
      <w:r w:rsidRPr="00A644A6">
        <w:rPr>
          <w:rFonts w:ascii="Arial" w:hAnsi="Arial" w:cs="Arial"/>
          <w:i/>
          <w:sz w:val="18"/>
          <w:szCs w:val="18"/>
        </w:rPr>
        <w:t>Entertainment Business</w:t>
      </w:r>
      <w:r w:rsidRPr="00A644A6">
        <w:rPr>
          <w:rFonts w:ascii="Arial" w:hAnsi="Arial" w:cs="Arial"/>
          <w:sz w:val="18"/>
          <w:szCs w:val="18"/>
        </w:rPr>
        <w:t xml:space="preserve"> 27 februari 2020</w:t>
      </w:r>
      <w:r>
        <w:rPr>
          <w:rFonts w:ascii="Arial" w:hAnsi="Arial" w:cs="Arial"/>
          <w:sz w:val="18"/>
          <w:szCs w:val="18"/>
        </w:rPr>
        <w:t>.</w:t>
      </w:r>
    </w:p>
  </w:footnote>
  <w:footnote w:id="18">
    <w:p w14:paraId="2A4314C0" w14:textId="135DF9B0" w:rsidR="00274109" w:rsidRPr="00274109" w:rsidRDefault="00274109">
      <w:pPr>
        <w:pStyle w:val="Voetnoottekst"/>
        <w:rPr>
          <w:rFonts w:ascii="Arial" w:hAnsi="Arial" w:cs="Arial"/>
          <w:sz w:val="18"/>
          <w:szCs w:val="18"/>
        </w:rPr>
      </w:pPr>
      <w:r w:rsidRPr="00274109">
        <w:rPr>
          <w:rStyle w:val="Voetnootmarkering"/>
          <w:rFonts w:ascii="Arial" w:hAnsi="Arial" w:cs="Arial"/>
          <w:sz w:val="18"/>
          <w:szCs w:val="18"/>
        </w:rPr>
        <w:footnoteRef/>
      </w:r>
      <w:r w:rsidRPr="00274109">
        <w:rPr>
          <w:rFonts w:ascii="Arial" w:hAnsi="Arial" w:cs="Arial"/>
          <w:sz w:val="18"/>
          <w:szCs w:val="18"/>
        </w:rPr>
        <w:t xml:space="preserve"> Zie de annotatie van </w:t>
      </w:r>
      <w:proofErr w:type="spellStart"/>
      <w:r w:rsidRPr="00274109">
        <w:rPr>
          <w:rFonts w:ascii="Arial" w:hAnsi="Arial" w:cs="Arial"/>
          <w:sz w:val="18"/>
          <w:szCs w:val="18"/>
        </w:rPr>
        <w:t>Wintjes</w:t>
      </w:r>
      <w:proofErr w:type="spellEnd"/>
      <w:r w:rsidRPr="00274109">
        <w:rPr>
          <w:rFonts w:ascii="Arial" w:hAnsi="Arial" w:cs="Arial"/>
          <w:sz w:val="18"/>
          <w:szCs w:val="18"/>
        </w:rPr>
        <w:t xml:space="preserve"> naar aanleiding van Gong/SENA, supra noot </w:t>
      </w:r>
      <w:r w:rsidR="00B415E3">
        <w:rPr>
          <w:rFonts w:ascii="Arial" w:hAnsi="Arial" w:cs="Arial"/>
          <w:sz w:val="18"/>
          <w:szCs w:val="18"/>
        </w:rPr>
        <w:t>8</w:t>
      </w:r>
      <w:r w:rsidRPr="00274109">
        <w:rPr>
          <w:rFonts w:ascii="Arial" w:hAnsi="Arial" w:cs="Arial"/>
          <w:sz w:val="18"/>
          <w:szCs w:val="18"/>
        </w:rPr>
        <w:t xml:space="preserve">, onder verwijzing naar D.J.G. Visser, </w:t>
      </w:r>
      <w:r w:rsidRPr="00274109">
        <w:rPr>
          <w:rFonts w:ascii="Arial" w:hAnsi="Arial" w:cs="Arial"/>
          <w:i/>
          <w:sz w:val="18"/>
          <w:szCs w:val="18"/>
        </w:rPr>
        <w:t>Naburige Rechten</w:t>
      </w:r>
      <w:r w:rsidRPr="00274109">
        <w:rPr>
          <w:rFonts w:ascii="Arial" w:hAnsi="Arial" w:cs="Arial"/>
          <w:sz w:val="18"/>
          <w:szCs w:val="18"/>
        </w:rPr>
        <w:t xml:space="preserve">, Deventer: W.E.J. Tjeenk </w:t>
      </w:r>
      <w:proofErr w:type="spellStart"/>
      <w:r w:rsidRPr="00274109">
        <w:rPr>
          <w:rFonts w:ascii="Arial" w:hAnsi="Arial" w:cs="Arial"/>
          <w:sz w:val="18"/>
          <w:szCs w:val="18"/>
        </w:rPr>
        <w:t>Willink</w:t>
      </w:r>
      <w:proofErr w:type="spellEnd"/>
      <w:r w:rsidRPr="00274109">
        <w:rPr>
          <w:rFonts w:ascii="Arial" w:hAnsi="Arial" w:cs="Arial"/>
          <w:sz w:val="18"/>
          <w:szCs w:val="18"/>
        </w:rPr>
        <w:t xml:space="preserve"> 1999, p. 47. </w:t>
      </w:r>
    </w:p>
  </w:footnote>
  <w:footnote w:id="19">
    <w:p w14:paraId="15A47224" w14:textId="522731CE" w:rsidR="00402F9F" w:rsidRDefault="00402F9F">
      <w:pPr>
        <w:pStyle w:val="Voetnoottekst"/>
      </w:pPr>
      <w:r w:rsidRPr="00AD2DE8">
        <w:rPr>
          <w:rStyle w:val="Voetnootmarkering"/>
          <w:rFonts w:ascii="Arial" w:hAnsi="Arial" w:cs="Arial"/>
          <w:sz w:val="18"/>
          <w:szCs w:val="18"/>
        </w:rPr>
        <w:footnoteRef/>
      </w:r>
      <w:r w:rsidRPr="00AD2DE8">
        <w:rPr>
          <w:rFonts w:ascii="Arial" w:hAnsi="Arial" w:cs="Arial"/>
          <w:sz w:val="18"/>
          <w:szCs w:val="18"/>
        </w:rPr>
        <w:t xml:space="preserve"> Vgl. </w:t>
      </w:r>
      <w:r w:rsidR="00AD2DE8">
        <w:rPr>
          <w:rFonts w:ascii="Arial" w:hAnsi="Arial" w:cs="Arial"/>
          <w:sz w:val="18"/>
          <w:szCs w:val="18"/>
        </w:rPr>
        <w:t xml:space="preserve">Spoor/Verkade/Visser, </w:t>
      </w:r>
      <w:r w:rsidR="00AD2DE8" w:rsidRPr="00A26F80">
        <w:rPr>
          <w:rFonts w:ascii="Arial" w:hAnsi="Arial" w:cs="Arial"/>
          <w:i/>
          <w:sz w:val="18"/>
          <w:szCs w:val="18"/>
        </w:rPr>
        <w:t>Auteursrecht</w:t>
      </w:r>
      <w:r w:rsidR="00AD2DE8">
        <w:rPr>
          <w:rFonts w:ascii="Arial" w:hAnsi="Arial" w:cs="Arial"/>
          <w:sz w:val="18"/>
          <w:szCs w:val="18"/>
        </w:rPr>
        <w:t>, Deventer: Wolters Kluwer 2019, p. 858 en de op die pagina bij noot 93 genoemde rechtspraak.</w:t>
      </w:r>
    </w:p>
  </w:footnote>
  <w:footnote w:id="20">
    <w:p w14:paraId="673B43CE" w14:textId="778793EC" w:rsidR="00AB1BB0" w:rsidRPr="00AB1BB0" w:rsidRDefault="00AB1BB0">
      <w:pPr>
        <w:pStyle w:val="Voetnoottekst"/>
        <w:rPr>
          <w:rFonts w:ascii="Arial" w:hAnsi="Arial" w:cs="Arial"/>
          <w:sz w:val="18"/>
          <w:szCs w:val="18"/>
          <w:lang w:val="en-US"/>
        </w:rPr>
      </w:pPr>
      <w:r w:rsidRPr="00AB1BB0">
        <w:rPr>
          <w:rStyle w:val="Voetnootmarkering"/>
          <w:rFonts w:ascii="Arial" w:hAnsi="Arial" w:cs="Arial"/>
          <w:sz w:val="18"/>
          <w:szCs w:val="18"/>
        </w:rPr>
        <w:footnoteRef/>
      </w:r>
      <w:r w:rsidRPr="00AB1BB0">
        <w:rPr>
          <w:rFonts w:ascii="Arial" w:hAnsi="Arial" w:cs="Arial"/>
          <w:sz w:val="18"/>
          <w:szCs w:val="18"/>
          <w:lang w:val="en-US"/>
        </w:rPr>
        <w:t xml:space="preserve"> </w:t>
      </w:r>
      <w:proofErr w:type="spellStart"/>
      <w:r w:rsidRPr="00AB1BB0">
        <w:rPr>
          <w:rFonts w:ascii="Arial" w:hAnsi="Arial" w:cs="Arial"/>
          <w:sz w:val="18"/>
          <w:szCs w:val="18"/>
          <w:lang w:val="en-US"/>
        </w:rPr>
        <w:t>Vgl</w:t>
      </w:r>
      <w:proofErr w:type="spellEnd"/>
      <w:r w:rsidRPr="00AB1BB0">
        <w:rPr>
          <w:rFonts w:ascii="Arial" w:hAnsi="Arial" w:cs="Arial"/>
          <w:sz w:val="18"/>
          <w:szCs w:val="18"/>
          <w:lang w:val="en-US"/>
        </w:rPr>
        <w:t xml:space="preserve">. P.B. </w:t>
      </w:r>
      <w:proofErr w:type="spellStart"/>
      <w:r w:rsidRPr="00AB1BB0">
        <w:rPr>
          <w:rFonts w:ascii="Arial" w:hAnsi="Arial" w:cs="Arial"/>
          <w:sz w:val="18"/>
          <w:szCs w:val="18"/>
          <w:lang w:val="en-US"/>
        </w:rPr>
        <w:t>Hugenholtz</w:t>
      </w:r>
      <w:proofErr w:type="spellEnd"/>
      <w:r w:rsidRPr="00AB1BB0">
        <w:rPr>
          <w:rFonts w:ascii="Arial" w:hAnsi="Arial" w:cs="Arial"/>
          <w:sz w:val="18"/>
          <w:szCs w:val="18"/>
          <w:lang w:val="en-US"/>
        </w:rPr>
        <w:t>, ‘</w:t>
      </w:r>
      <w:proofErr w:type="spellStart"/>
      <w:r w:rsidRPr="00AB1BB0">
        <w:rPr>
          <w:rFonts w:ascii="Arial" w:hAnsi="Arial" w:cs="Arial"/>
          <w:sz w:val="18"/>
          <w:szCs w:val="18"/>
          <w:lang w:val="en-US"/>
        </w:rPr>
        <w:t>Neighbouring</w:t>
      </w:r>
      <w:proofErr w:type="spellEnd"/>
      <w:r w:rsidRPr="00AB1BB0">
        <w:rPr>
          <w:rFonts w:ascii="Arial" w:hAnsi="Arial" w:cs="Arial"/>
          <w:sz w:val="18"/>
          <w:szCs w:val="18"/>
          <w:lang w:val="en-US"/>
        </w:rPr>
        <w:t xml:space="preserve"> Rights are Obsolete’, </w:t>
      </w:r>
      <w:r w:rsidRPr="00AB1BB0">
        <w:rPr>
          <w:rFonts w:ascii="Arial" w:hAnsi="Arial" w:cs="Arial"/>
          <w:i/>
          <w:sz w:val="18"/>
          <w:szCs w:val="18"/>
          <w:lang w:val="en-US"/>
        </w:rPr>
        <w:t>IIC</w:t>
      </w:r>
      <w:r w:rsidRPr="00AB1BB0">
        <w:rPr>
          <w:rFonts w:ascii="Arial" w:hAnsi="Arial" w:cs="Arial"/>
          <w:sz w:val="18"/>
          <w:szCs w:val="18"/>
          <w:lang w:val="en-US"/>
        </w:rPr>
        <w:t xml:space="preserve"> 50, 1006-1011 (2019)</w:t>
      </w:r>
    </w:p>
  </w:footnote>
  <w:footnote w:id="21">
    <w:p w14:paraId="5EF24CBC" w14:textId="47C34922" w:rsidR="00C814B6" w:rsidRPr="00C814B6" w:rsidRDefault="00C814B6">
      <w:pPr>
        <w:pStyle w:val="Voetnoottekst"/>
        <w:rPr>
          <w:rFonts w:ascii="Arial" w:hAnsi="Arial" w:cs="Arial"/>
          <w:sz w:val="18"/>
          <w:szCs w:val="18"/>
        </w:rPr>
      </w:pPr>
      <w:r w:rsidRPr="00C814B6">
        <w:rPr>
          <w:rStyle w:val="Voetnootmarkering"/>
          <w:rFonts w:ascii="Arial" w:hAnsi="Arial" w:cs="Arial"/>
          <w:sz w:val="18"/>
          <w:szCs w:val="18"/>
        </w:rPr>
        <w:footnoteRef/>
      </w:r>
      <w:r w:rsidRPr="00C814B6">
        <w:rPr>
          <w:rFonts w:ascii="Arial" w:hAnsi="Arial" w:cs="Arial"/>
          <w:sz w:val="18"/>
          <w:szCs w:val="18"/>
        </w:rPr>
        <w:t xml:space="preserve"> </w:t>
      </w:r>
      <w:proofErr w:type="spellStart"/>
      <w:r w:rsidRPr="00C814B6">
        <w:rPr>
          <w:rFonts w:ascii="Arial" w:hAnsi="Arial" w:cs="Arial"/>
          <w:sz w:val="18"/>
          <w:szCs w:val="18"/>
        </w:rPr>
        <w:t>HvJEU</w:t>
      </w:r>
      <w:proofErr w:type="spellEnd"/>
      <w:r>
        <w:rPr>
          <w:rFonts w:ascii="Arial" w:hAnsi="Arial" w:cs="Arial"/>
          <w:sz w:val="18"/>
          <w:szCs w:val="18"/>
        </w:rPr>
        <w:t xml:space="preserve"> 29 juli 2019, zaak C-476/17, ECLI:EU:C:2019:624,</w:t>
      </w:r>
      <w:r w:rsidRPr="00C814B6">
        <w:rPr>
          <w:rFonts w:ascii="Arial" w:hAnsi="Arial" w:cs="Arial"/>
          <w:sz w:val="18"/>
          <w:szCs w:val="18"/>
        </w:rPr>
        <w:t xml:space="preserve"> </w:t>
      </w:r>
      <w:proofErr w:type="spellStart"/>
      <w:r w:rsidRPr="00C814B6">
        <w:rPr>
          <w:rFonts w:ascii="Arial" w:hAnsi="Arial" w:cs="Arial"/>
          <w:sz w:val="18"/>
          <w:szCs w:val="18"/>
        </w:rPr>
        <w:t>r.o.</w:t>
      </w:r>
      <w:proofErr w:type="spellEnd"/>
      <w:r w:rsidRPr="00C814B6">
        <w:rPr>
          <w:rFonts w:ascii="Arial" w:hAnsi="Arial" w:cs="Arial"/>
          <w:sz w:val="18"/>
          <w:szCs w:val="18"/>
        </w:rPr>
        <w:t xml:space="preserve"> 30</w:t>
      </w:r>
      <w:r>
        <w:rPr>
          <w:rFonts w:ascii="Arial" w:hAnsi="Arial" w:cs="Arial"/>
          <w:sz w:val="18"/>
          <w:szCs w:val="18"/>
        </w:rPr>
        <w:t xml:space="preserve"> en 44</w:t>
      </w:r>
      <w:r w:rsidRPr="00C814B6">
        <w:rPr>
          <w:rFonts w:ascii="Arial" w:hAnsi="Arial" w:cs="Arial"/>
          <w:sz w:val="18"/>
          <w:szCs w:val="18"/>
        </w:rPr>
        <w:t xml:space="preserve"> (</w:t>
      </w:r>
      <w:proofErr w:type="spellStart"/>
      <w:r w:rsidRPr="00C814B6">
        <w:rPr>
          <w:rFonts w:ascii="Arial" w:hAnsi="Arial" w:cs="Arial"/>
          <w:i/>
          <w:sz w:val="18"/>
          <w:szCs w:val="18"/>
        </w:rPr>
        <w:t>Pelham</w:t>
      </w:r>
      <w:proofErr w:type="spellEnd"/>
      <w:r w:rsidRPr="00C814B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1CE2" w14:textId="77777777" w:rsidR="001005D3" w:rsidRDefault="001005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4E6E" w14:textId="77777777" w:rsidR="001005D3" w:rsidRDefault="001005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8907" w14:textId="77777777" w:rsidR="001005D3" w:rsidRDefault="001005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CE7"/>
    <w:multiLevelType w:val="hybridMultilevel"/>
    <w:tmpl w:val="43AC9D58"/>
    <w:lvl w:ilvl="0" w:tplc="A86A6B6A">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CF"/>
    <w:rsid w:val="00000393"/>
    <w:rsid w:val="00002583"/>
    <w:rsid w:val="000077D5"/>
    <w:rsid w:val="00011DDD"/>
    <w:rsid w:val="00012D1C"/>
    <w:rsid w:val="00023D29"/>
    <w:rsid w:val="0003157A"/>
    <w:rsid w:val="00032A36"/>
    <w:rsid w:val="00033E42"/>
    <w:rsid w:val="00051B2A"/>
    <w:rsid w:val="00052363"/>
    <w:rsid w:val="00055456"/>
    <w:rsid w:val="00055ABF"/>
    <w:rsid w:val="000611ED"/>
    <w:rsid w:val="0006349B"/>
    <w:rsid w:val="000714DF"/>
    <w:rsid w:val="00073048"/>
    <w:rsid w:val="00073381"/>
    <w:rsid w:val="000740CE"/>
    <w:rsid w:val="000747AA"/>
    <w:rsid w:val="00081B83"/>
    <w:rsid w:val="00082B63"/>
    <w:rsid w:val="00083361"/>
    <w:rsid w:val="000858EE"/>
    <w:rsid w:val="000A0296"/>
    <w:rsid w:val="000A05DB"/>
    <w:rsid w:val="000A26A3"/>
    <w:rsid w:val="000A2D23"/>
    <w:rsid w:val="000A4F57"/>
    <w:rsid w:val="000A58FC"/>
    <w:rsid w:val="000B09FC"/>
    <w:rsid w:val="000B0FCD"/>
    <w:rsid w:val="000B33C0"/>
    <w:rsid w:val="000B53AF"/>
    <w:rsid w:val="000B761E"/>
    <w:rsid w:val="000C407B"/>
    <w:rsid w:val="000C6997"/>
    <w:rsid w:val="000D1D65"/>
    <w:rsid w:val="000D5CBB"/>
    <w:rsid w:val="000E58D4"/>
    <w:rsid w:val="000E59A2"/>
    <w:rsid w:val="000F2444"/>
    <w:rsid w:val="000F3B33"/>
    <w:rsid w:val="000F56F3"/>
    <w:rsid w:val="0010036B"/>
    <w:rsid w:val="001005D3"/>
    <w:rsid w:val="001011EB"/>
    <w:rsid w:val="00113936"/>
    <w:rsid w:val="0012122A"/>
    <w:rsid w:val="001313F2"/>
    <w:rsid w:val="00131C75"/>
    <w:rsid w:val="0013487D"/>
    <w:rsid w:val="001443D1"/>
    <w:rsid w:val="0015482D"/>
    <w:rsid w:val="0015592F"/>
    <w:rsid w:val="001572BA"/>
    <w:rsid w:val="00161557"/>
    <w:rsid w:val="001743AF"/>
    <w:rsid w:val="00183C0D"/>
    <w:rsid w:val="00191286"/>
    <w:rsid w:val="00191948"/>
    <w:rsid w:val="00197317"/>
    <w:rsid w:val="00197AEA"/>
    <w:rsid w:val="001A0382"/>
    <w:rsid w:val="001A37B0"/>
    <w:rsid w:val="001A4FE6"/>
    <w:rsid w:val="001A54B9"/>
    <w:rsid w:val="001A68A0"/>
    <w:rsid w:val="001A6DEA"/>
    <w:rsid w:val="001A7748"/>
    <w:rsid w:val="001A7E7B"/>
    <w:rsid w:val="001B2F3D"/>
    <w:rsid w:val="001B6915"/>
    <w:rsid w:val="001C7439"/>
    <w:rsid w:val="001D0ECA"/>
    <w:rsid w:val="001D19CC"/>
    <w:rsid w:val="001D5D36"/>
    <w:rsid w:val="001D6555"/>
    <w:rsid w:val="001D7EAE"/>
    <w:rsid w:val="001E4121"/>
    <w:rsid w:val="001E6024"/>
    <w:rsid w:val="001F0257"/>
    <w:rsid w:val="001F4465"/>
    <w:rsid w:val="001F4EA2"/>
    <w:rsid w:val="001F5720"/>
    <w:rsid w:val="00200B75"/>
    <w:rsid w:val="002028BA"/>
    <w:rsid w:val="002064C2"/>
    <w:rsid w:val="002120FA"/>
    <w:rsid w:val="002168B2"/>
    <w:rsid w:val="00217197"/>
    <w:rsid w:val="002209E6"/>
    <w:rsid w:val="00227293"/>
    <w:rsid w:val="00232384"/>
    <w:rsid w:val="00261EF7"/>
    <w:rsid w:val="00261FD0"/>
    <w:rsid w:val="00265D5D"/>
    <w:rsid w:val="00270A96"/>
    <w:rsid w:val="00274109"/>
    <w:rsid w:val="0027599C"/>
    <w:rsid w:val="00281D46"/>
    <w:rsid w:val="002835B1"/>
    <w:rsid w:val="00284FCD"/>
    <w:rsid w:val="002860A1"/>
    <w:rsid w:val="00292EA9"/>
    <w:rsid w:val="00295E06"/>
    <w:rsid w:val="002B3CCA"/>
    <w:rsid w:val="002B6B41"/>
    <w:rsid w:val="002B7CB2"/>
    <w:rsid w:val="002C1D93"/>
    <w:rsid w:val="002C7CB8"/>
    <w:rsid w:val="002E548D"/>
    <w:rsid w:val="002E5B37"/>
    <w:rsid w:val="002F1E56"/>
    <w:rsid w:val="002F2D76"/>
    <w:rsid w:val="002F523D"/>
    <w:rsid w:val="00301590"/>
    <w:rsid w:val="003021A6"/>
    <w:rsid w:val="0030407B"/>
    <w:rsid w:val="0030633F"/>
    <w:rsid w:val="00312229"/>
    <w:rsid w:val="0031250A"/>
    <w:rsid w:val="00313174"/>
    <w:rsid w:val="0032255A"/>
    <w:rsid w:val="00327E5F"/>
    <w:rsid w:val="00331818"/>
    <w:rsid w:val="003377C2"/>
    <w:rsid w:val="00340669"/>
    <w:rsid w:val="00342C4D"/>
    <w:rsid w:val="00346A20"/>
    <w:rsid w:val="0035473F"/>
    <w:rsid w:val="003548C8"/>
    <w:rsid w:val="00355E97"/>
    <w:rsid w:val="00355FAE"/>
    <w:rsid w:val="0036242A"/>
    <w:rsid w:val="0036665C"/>
    <w:rsid w:val="003718A9"/>
    <w:rsid w:val="0037193C"/>
    <w:rsid w:val="00373171"/>
    <w:rsid w:val="003771EB"/>
    <w:rsid w:val="00383626"/>
    <w:rsid w:val="00385E87"/>
    <w:rsid w:val="00391CA6"/>
    <w:rsid w:val="003926D1"/>
    <w:rsid w:val="00395F54"/>
    <w:rsid w:val="003A6DAE"/>
    <w:rsid w:val="003A79F4"/>
    <w:rsid w:val="003B5C90"/>
    <w:rsid w:val="003B640B"/>
    <w:rsid w:val="003C5709"/>
    <w:rsid w:val="003E2C32"/>
    <w:rsid w:val="003F0C82"/>
    <w:rsid w:val="003F27FE"/>
    <w:rsid w:val="003F318B"/>
    <w:rsid w:val="00402F9F"/>
    <w:rsid w:val="0040415F"/>
    <w:rsid w:val="0040466F"/>
    <w:rsid w:val="00405677"/>
    <w:rsid w:val="00407499"/>
    <w:rsid w:val="00415F49"/>
    <w:rsid w:val="0041624C"/>
    <w:rsid w:val="00424BE6"/>
    <w:rsid w:val="00425A39"/>
    <w:rsid w:val="00426743"/>
    <w:rsid w:val="00430FC4"/>
    <w:rsid w:val="00433CA6"/>
    <w:rsid w:val="00435ADC"/>
    <w:rsid w:val="00441B90"/>
    <w:rsid w:val="004505E6"/>
    <w:rsid w:val="004535A1"/>
    <w:rsid w:val="0046060F"/>
    <w:rsid w:val="004615B7"/>
    <w:rsid w:val="00462707"/>
    <w:rsid w:val="004628AA"/>
    <w:rsid w:val="00462969"/>
    <w:rsid w:val="00464CFC"/>
    <w:rsid w:val="00466B2E"/>
    <w:rsid w:val="00471CCF"/>
    <w:rsid w:val="004929E6"/>
    <w:rsid w:val="00492BE2"/>
    <w:rsid w:val="00493A8F"/>
    <w:rsid w:val="004A41DA"/>
    <w:rsid w:val="004A72A4"/>
    <w:rsid w:val="004A73C5"/>
    <w:rsid w:val="004B0095"/>
    <w:rsid w:val="004B0A02"/>
    <w:rsid w:val="004B1C01"/>
    <w:rsid w:val="004B2A64"/>
    <w:rsid w:val="004B5D89"/>
    <w:rsid w:val="004E12AC"/>
    <w:rsid w:val="004E275B"/>
    <w:rsid w:val="004E6C37"/>
    <w:rsid w:val="004F1803"/>
    <w:rsid w:val="004F4B36"/>
    <w:rsid w:val="004F7CB5"/>
    <w:rsid w:val="00501D88"/>
    <w:rsid w:val="005036AB"/>
    <w:rsid w:val="005065E7"/>
    <w:rsid w:val="0051000D"/>
    <w:rsid w:val="00513159"/>
    <w:rsid w:val="00513B06"/>
    <w:rsid w:val="00514ED2"/>
    <w:rsid w:val="00521185"/>
    <w:rsid w:val="00522627"/>
    <w:rsid w:val="005263BF"/>
    <w:rsid w:val="005268FA"/>
    <w:rsid w:val="005360FC"/>
    <w:rsid w:val="00546923"/>
    <w:rsid w:val="00552560"/>
    <w:rsid w:val="00556427"/>
    <w:rsid w:val="005572AB"/>
    <w:rsid w:val="00560B3F"/>
    <w:rsid w:val="00560F41"/>
    <w:rsid w:val="0057040F"/>
    <w:rsid w:val="0057183C"/>
    <w:rsid w:val="00573F21"/>
    <w:rsid w:val="00575A21"/>
    <w:rsid w:val="005826A9"/>
    <w:rsid w:val="00590EBF"/>
    <w:rsid w:val="00595078"/>
    <w:rsid w:val="005972D0"/>
    <w:rsid w:val="005A6934"/>
    <w:rsid w:val="005B0514"/>
    <w:rsid w:val="005B1618"/>
    <w:rsid w:val="005B6073"/>
    <w:rsid w:val="005B704B"/>
    <w:rsid w:val="005D5CE3"/>
    <w:rsid w:val="005D736D"/>
    <w:rsid w:val="005E1373"/>
    <w:rsid w:val="005E185F"/>
    <w:rsid w:val="005F3663"/>
    <w:rsid w:val="005F568C"/>
    <w:rsid w:val="005F5923"/>
    <w:rsid w:val="005F5ED5"/>
    <w:rsid w:val="005F66B9"/>
    <w:rsid w:val="005F7D57"/>
    <w:rsid w:val="006001B6"/>
    <w:rsid w:val="00601811"/>
    <w:rsid w:val="00605FFC"/>
    <w:rsid w:val="00607F36"/>
    <w:rsid w:val="00610327"/>
    <w:rsid w:val="006140B1"/>
    <w:rsid w:val="00617E37"/>
    <w:rsid w:val="0063242A"/>
    <w:rsid w:val="006359F5"/>
    <w:rsid w:val="00635E98"/>
    <w:rsid w:val="006375C2"/>
    <w:rsid w:val="00640443"/>
    <w:rsid w:val="00643338"/>
    <w:rsid w:val="006559F8"/>
    <w:rsid w:val="00660C37"/>
    <w:rsid w:val="006612FD"/>
    <w:rsid w:val="00666201"/>
    <w:rsid w:val="00670757"/>
    <w:rsid w:val="00676241"/>
    <w:rsid w:val="0068647E"/>
    <w:rsid w:val="006877C5"/>
    <w:rsid w:val="006940F0"/>
    <w:rsid w:val="006956AD"/>
    <w:rsid w:val="0069585A"/>
    <w:rsid w:val="00696D58"/>
    <w:rsid w:val="00697432"/>
    <w:rsid w:val="006977E2"/>
    <w:rsid w:val="006A2065"/>
    <w:rsid w:val="006A3A46"/>
    <w:rsid w:val="006B0A5F"/>
    <w:rsid w:val="006B3715"/>
    <w:rsid w:val="006B45F2"/>
    <w:rsid w:val="006B4B6E"/>
    <w:rsid w:val="006C38DB"/>
    <w:rsid w:val="006D0215"/>
    <w:rsid w:val="006D1944"/>
    <w:rsid w:val="006D49D5"/>
    <w:rsid w:val="006E3742"/>
    <w:rsid w:val="006E4A15"/>
    <w:rsid w:val="006F02F7"/>
    <w:rsid w:val="006F25CF"/>
    <w:rsid w:val="006F6A36"/>
    <w:rsid w:val="00701CEA"/>
    <w:rsid w:val="00706745"/>
    <w:rsid w:val="00710469"/>
    <w:rsid w:val="00713C6F"/>
    <w:rsid w:val="00723E9A"/>
    <w:rsid w:val="00724846"/>
    <w:rsid w:val="00733508"/>
    <w:rsid w:val="0073383F"/>
    <w:rsid w:val="00733B68"/>
    <w:rsid w:val="00736A9F"/>
    <w:rsid w:val="00737ED3"/>
    <w:rsid w:val="00740DE6"/>
    <w:rsid w:val="00741C13"/>
    <w:rsid w:val="0074233E"/>
    <w:rsid w:val="007444E8"/>
    <w:rsid w:val="00746097"/>
    <w:rsid w:val="00747FC8"/>
    <w:rsid w:val="007539FD"/>
    <w:rsid w:val="00757CBC"/>
    <w:rsid w:val="007619C5"/>
    <w:rsid w:val="007624C1"/>
    <w:rsid w:val="00764D87"/>
    <w:rsid w:val="00767593"/>
    <w:rsid w:val="00777694"/>
    <w:rsid w:val="0078021E"/>
    <w:rsid w:val="00781BFC"/>
    <w:rsid w:val="007845DB"/>
    <w:rsid w:val="00786387"/>
    <w:rsid w:val="0079600E"/>
    <w:rsid w:val="007A0BCC"/>
    <w:rsid w:val="007A6FA2"/>
    <w:rsid w:val="007B0751"/>
    <w:rsid w:val="007B5C5E"/>
    <w:rsid w:val="007B6C69"/>
    <w:rsid w:val="007C46E5"/>
    <w:rsid w:val="007C6AE6"/>
    <w:rsid w:val="007C77CC"/>
    <w:rsid w:val="007E2AEC"/>
    <w:rsid w:val="007E70FD"/>
    <w:rsid w:val="007F3C49"/>
    <w:rsid w:val="007F6247"/>
    <w:rsid w:val="008007CE"/>
    <w:rsid w:val="00802C96"/>
    <w:rsid w:val="00802D31"/>
    <w:rsid w:val="008077E8"/>
    <w:rsid w:val="008110FC"/>
    <w:rsid w:val="00812C95"/>
    <w:rsid w:val="00815E5F"/>
    <w:rsid w:val="00823C19"/>
    <w:rsid w:val="00830685"/>
    <w:rsid w:val="00834948"/>
    <w:rsid w:val="0084031E"/>
    <w:rsid w:val="00847694"/>
    <w:rsid w:val="008540EF"/>
    <w:rsid w:val="00862580"/>
    <w:rsid w:val="00872C0D"/>
    <w:rsid w:val="00880A4A"/>
    <w:rsid w:val="008825E8"/>
    <w:rsid w:val="008841B0"/>
    <w:rsid w:val="00886467"/>
    <w:rsid w:val="00891645"/>
    <w:rsid w:val="00893A5C"/>
    <w:rsid w:val="00894FD3"/>
    <w:rsid w:val="00896749"/>
    <w:rsid w:val="008967F6"/>
    <w:rsid w:val="008A16B1"/>
    <w:rsid w:val="008A6248"/>
    <w:rsid w:val="008B0679"/>
    <w:rsid w:val="008B068D"/>
    <w:rsid w:val="008B0B55"/>
    <w:rsid w:val="008B279D"/>
    <w:rsid w:val="008C636D"/>
    <w:rsid w:val="008D00E7"/>
    <w:rsid w:val="008D3CFE"/>
    <w:rsid w:val="008D4DFC"/>
    <w:rsid w:val="008E50A2"/>
    <w:rsid w:val="008E56A4"/>
    <w:rsid w:val="008F0A66"/>
    <w:rsid w:val="008F1E2B"/>
    <w:rsid w:val="008F503B"/>
    <w:rsid w:val="00900A0B"/>
    <w:rsid w:val="00901CA0"/>
    <w:rsid w:val="00903518"/>
    <w:rsid w:val="0092223D"/>
    <w:rsid w:val="009247D0"/>
    <w:rsid w:val="009250A8"/>
    <w:rsid w:val="00930623"/>
    <w:rsid w:val="009312FA"/>
    <w:rsid w:val="009348A7"/>
    <w:rsid w:val="00940FEB"/>
    <w:rsid w:val="00950D70"/>
    <w:rsid w:val="00953A00"/>
    <w:rsid w:val="00956166"/>
    <w:rsid w:val="00961391"/>
    <w:rsid w:val="00966401"/>
    <w:rsid w:val="00970B13"/>
    <w:rsid w:val="00971E1F"/>
    <w:rsid w:val="0097560B"/>
    <w:rsid w:val="00990EEB"/>
    <w:rsid w:val="009955EC"/>
    <w:rsid w:val="009A2A08"/>
    <w:rsid w:val="009A39EE"/>
    <w:rsid w:val="009A41BA"/>
    <w:rsid w:val="009B0638"/>
    <w:rsid w:val="009C4DD5"/>
    <w:rsid w:val="009D19AE"/>
    <w:rsid w:val="009D6C1A"/>
    <w:rsid w:val="009D7DF9"/>
    <w:rsid w:val="009E3D03"/>
    <w:rsid w:val="009E418C"/>
    <w:rsid w:val="009E5DF3"/>
    <w:rsid w:val="009E67F0"/>
    <w:rsid w:val="009E7AD6"/>
    <w:rsid w:val="009F61EA"/>
    <w:rsid w:val="00A07DCA"/>
    <w:rsid w:val="00A103DE"/>
    <w:rsid w:val="00A17503"/>
    <w:rsid w:val="00A219CD"/>
    <w:rsid w:val="00A26831"/>
    <w:rsid w:val="00A26F80"/>
    <w:rsid w:val="00A3304A"/>
    <w:rsid w:val="00A355C7"/>
    <w:rsid w:val="00A40E8A"/>
    <w:rsid w:val="00A43B0A"/>
    <w:rsid w:val="00A44B84"/>
    <w:rsid w:val="00A5012A"/>
    <w:rsid w:val="00A61742"/>
    <w:rsid w:val="00A62DDC"/>
    <w:rsid w:val="00A6336C"/>
    <w:rsid w:val="00A640CE"/>
    <w:rsid w:val="00A644A6"/>
    <w:rsid w:val="00A76DD5"/>
    <w:rsid w:val="00A818A9"/>
    <w:rsid w:val="00A919A2"/>
    <w:rsid w:val="00A94CE3"/>
    <w:rsid w:val="00A95AE2"/>
    <w:rsid w:val="00A97299"/>
    <w:rsid w:val="00A97C7B"/>
    <w:rsid w:val="00AA010E"/>
    <w:rsid w:val="00AA0709"/>
    <w:rsid w:val="00AA1BE5"/>
    <w:rsid w:val="00AA7FB3"/>
    <w:rsid w:val="00AB15A1"/>
    <w:rsid w:val="00AB1BB0"/>
    <w:rsid w:val="00AB3FE0"/>
    <w:rsid w:val="00AB78A0"/>
    <w:rsid w:val="00AC0BAD"/>
    <w:rsid w:val="00AC6C3C"/>
    <w:rsid w:val="00AD0C55"/>
    <w:rsid w:val="00AD1358"/>
    <w:rsid w:val="00AD2DE8"/>
    <w:rsid w:val="00AD779F"/>
    <w:rsid w:val="00AE0EDB"/>
    <w:rsid w:val="00AE11A7"/>
    <w:rsid w:val="00AE221F"/>
    <w:rsid w:val="00AE28B3"/>
    <w:rsid w:val="00AE3D14"/>
    <w:rsid w:val="00AE4B98"/>
    <w:rsid w:val="00AE5612"/>
    <w:rsid w:val="00AE6783"/>
    <w:rsid w:val="00AE7189"/>
    <w:rsid w:val="00B1115C"/>
    <w:rsid w:val="00B126F8"/>
    <w:rsid w:val="00B141CD"/>
    <w:rsid w:val="00B211CC"/>
    <w:rsid w:val="00B21EAD"/>
    <w:rsid w:val="00B22283"/>
    <w:rsid w:val="00B27208"/>
    <w:rsid w:val="00B32A9D"/>
    <w:rsid w:val="00B358CF"/>
    <w:rsid w:val="00B415E3"/>
    <w:rsid w:val="00B41DF3"/>
    <w:rsid w:val="00B41F5D"/>
    <w:rsid w:val="00B442D7"/>
    <w:rsid w:val="00B460F3"/>
    <w:rsid w:val="00B46CD9"/>
    <w:rsid w:val="00B54C69"/>
    <w:rsid w:val="00B60C4C"/>
    <w:rsid w:val="00B61388"/>
    <w:rsid w:val="00B64A87"/>
    <w:rsid w:val="00B71337"/>
    <w:rsid w:val="00B74708"/>
    <w:rsid w:val="00B76A1D"/>
    <w:rsid w:val="00B76D66"/>
    <w:rsid w:val="00B80E5F"/>
    <w:rsid w:val="00B86326"/>
    <w:rsid w:val="00B877AD"/>
    <w:rsid w:val="00BA0EDA"/>
    <w:rsid w:val="00BA342F"/>
    <w:rsid w:val="00BA407D"/>
    <w:rsid w:val="00BB05DE"/>
    <w:rsid w:val="00BB084F"/>
    <w:rsid w:val="00BB70DF"/>
    <w:rsid w:val="00BC3BA4"/>
    <w:rsid w:val="00BC4BC7"/>
    <w:rsid w:val="00BC4D56"/>
    <w:rsid w:val="00BC510E"/>
    <w:rsid w:val="00BC5B27"/>
    <w:rsid w:val="00BC70DB"/>
    <w:rsid w:val="00BD05ED"/>
    <w:rsid w:val="00BD156F"/>
    <w:rsid w:val="00BD33CA"/>
    <w:rsid w:val="00BD54D3"/>
    <w:rsid w:val="00BD689E"/>
    <w:rsid w:val="00BE5EAD"/>
    <w:rsid w:val="00BE5EBE"/>
    <w:rsid w:val="00BF1D91"/>
    <w:rsid w:val="00BF35D3"/>
    <w:rsid w:val="00BF7B0F"/>
    <w:rsid w:val="00C000DD"/>
    <w:rsid w:val="00C06BB1"/>
    <w:rsid w:val="00C10DA8"/>
    <w:rsid w:val="00C115F3"/>
    <w:rsid w:val="00C1192A"/>
    <w:rsid w:val="00C127BF"/>
    <w:rsid w:val="00C25CAA"/>
    <w:rsid w:val="00C26DCF"/>
    <w:rsid w:val="00C27DDD"/>
    <w:rsid w:val="00C30F71"/>
    <w:rsid w:val="00C34ADB"/>
    <w:rsid w:val="00C37E51"/>
    <w:rsid w:val="00C44099"/>
    <w:rsid w:val="00C45465"/>
    <w:rsid w:val="00C5240C"/>
    <w:rsid w:val="00C53A4F"/>
    <w:rsid w:val="00C5536D"/>
    <w:rsid w:val="00C561AA"/>
    <w:rsid w:val="00C60474"/>
    <w:rsid w:val="00C62806"/>
    <w:rsid w:val="00C62E9E"/>
    <w:rsid w:val="00C63088"/>
    <w:rsid w:val="00C67BFF"/>
    <w:rsid w:val="00C74C37"/>
    <w:rsid w:val="00C814B6"/>
    <w:rsid w:val="00C85391"/>
    <w:rsid w:val="00C87E52"/>
    <w:rsid w:val="00C92F29"/>
    <w:rsid w:val="00C9397B"/>
    <w:rsid w:val="00C944AA"/>
    <w:rsid w:val="00CA0D09"/>
    <w:rsid w:val="00CA225D"/>
    <w:rsid w:val="00CA2503"/>
    <w:rsid w:val="00CA26EF"/>
    <w:rsid w:val="00CA3E8F"/>
    <w:rsid w:val="00CA5253"/>
    <w:rsid w:val="00CC008B"/>
    <w:rsid w:val="00CC057F"/>
    <w:rsid w:val="00CC5D09"/>
    <w:rsid w:val="00CC6DD4"/>
    <w:rsid w:val="00CC6E43"/>
    <w:rsid w:val="00CD01C1"/>
    <w:rsid w:val="00CD374C"/>
    <w:rsid w:val="00CE2D1B"/>
    <w:rsid w:val="00CF0A75"/>
    <w:rsid w:val="00CF29E3"/>
    <w:rsid w:val="00CF4F36"/>
    <w:rsid w:val="00D05A44"/>
    <w:rsid w:val="00D064C0"/>
    <w:rsid w:val="00D06AE0"/>
    <w:rsid w:val="00D21E8A"/>
    <w:rsid w:val="00D26966"/>
    <w:rsid w:val="00D26D02"/>
    <w:rsid w:val="00D415D5"/>
    <w:rsid w:val="00D4401E"/>
    <w:rsid w:val="00D457EA"/>
    <w:rsid w:val="00D4783B"/>
    <w:rsid w:val="00D508F5"/>
    <w:rsid w:val="00D520F4"/>
    <w:rsid w:val="00D5498F"/>
    <w:rsid w:val="00D571FD"/>
    <w:rsid w:val="00D61D27"/>
    <w:rsid w:val="00D61F66"/>
    <w:rsid w:val="00D70689"/>
    <w:rsid w:val="00D71950"/>
    <w:rsid w:val="00D82505"/>
    <w:rsid w:val="00D82BFC"/>
    <w:rsid w:val="00D84534"/>
    <w:rsid w:val="00D92389"/>
    <w:rsid w:val="00DA361C"/>
    <w:rsid w:val="00DA5CFD"/>
    <w:rsid w:val="00DA79DA"/>
    <w:rsid w:val="00DB4B14"/>
    <w:rsid w:val="00DB5EB0"/>
    <w:rsid w:val="00DC08A7"/>
    <w:rsid w:val="00DC16C5"/>
    <w:rsid w:val="00DC49D6"/>
    <w:rsid w:val="00DC6320"/>
    <w:rsid w:val="00DC6791"/>
    <w:rsid w:val="00DD1C87"/>
    <w:rsid w:val="00DD3955"/>
    <w:rsid w:val="00DE19AF"/>
    <w:rsid w:val="00DF184F"/>
    <w:rsid w:val="00DF474A"/>
    <w:rsid w:val="00DF5DF6"/>
    <w:rsid w:val="00E04180"/>
    <w:rsid w:val="00E0505E"/>
    <w:rsid w:val="00E1127E"/>
    <w:rsid w:val="00E140D9"/>
    <w:rsid w:val="00E21364"/>
    <w:rsid w:val="00E21DF2"/>
    <w:rsid w:val="00E30099"/>
    <w:rsid w:val="00E33F64"/>
    <w:rsid w:val="00E3797C"/>
    <w:rsid w:val="00E37C15"/>
    <w:rsid w:val="00E37F48"/>
    <w:rsid w:val="00E41AC4"/>
    <w:rsid w:val="00E41B76"/>
    <w:rsid w:val="00E4475C"/>
    <w:rsid w:val="00E47A65"/>
    <w:rsid w:val="00E47FF2"/>
    <w:rsid w:val="00E50AD3"/>
    <w:rsid w:val="00E51B33"/>
    <w:rsid w:val="00E52DD8"/>
    <w:rsid w:val="00E546EA"/>
    <w:rsid w:val="00E5512B"/>
    <w:rsid w:val="00E571B6"/>
    <w:rsid w:val="00E635AC"/>
    <w:rsid w:val="00E6775A"/>
    <w:rsid w:val="00E71388"/>
    <w:rsid w:val="00E720D9"/>
    <w:rsid w:val="00E7647C"/>
    <w:rsid w:val="00E80511"/>
    <w:rsid w:val="00E90E33"/>
    <w:rsid w:val="00E91C5E"/>
    <w:rsid w:val="00E93514"/>
    <w:rsid w:val="00EA0841"/>
    <w:rsid w:val="00EA2619"/>
    <w:rsid w:val="00EA3752"/>
    <w:rsid w:val="00EA5BCB"/>
    <w:rsid w:val="00EA5D3A"/>
    <w:rsid w:val="00EA6390"/>
    <w:rsid w:val="00EC6634"/>
    <w:rsid w:val="00ED1DC6"/>
    <w:rsid w:val="00ED2821"/>
    <w:rsid w:val="00ED28F7"/>
    <w:rsid w:val="00EE2C59"/>
    <w:rsid w:val="00EE7549"/>
    <w:rsid w:val="00EF0076"/>
    <w:rsid w:val="00EF1313"/>
    <w:rsid w:val="00EF1A10"/>
    <w:rsid w:val="00F02709"/>
    <w:rsid w:val="00F0518F"/>
    <w:rsid w:val="00F068D8"/>
    <w:rsid w:val="00F13BE9"/>
    <w:rsid w:val="00F13E24"/>
    <w:rsid w:val="00F13E8D"/>
    <w:rsid w:val="00F14098"/>
    <w:rsid w:val="00F2655F"/>
    <w:rsid w:val="00F3165C"/>
    <w:rsid w:val="00F31DD9"/>
    <w:rsid w:val="00F3417A"/>
    <w:rsid w:val="00F45C53"/>
    <w:rsid w:val="00F510D9"/>
    <w:rsid w:val="00F51239"/>
    <w:rsid w:val="00F602C4"/>
    <w:rsid w:val="00F66451"/>
    <w:rsid w:val="00F704FE"/>
    <w:rsid w:val="00F76FDB"/>
    <w:rsid w:val="00F80FA3"/>
    <w:rsid w:val="00F8597E"/>
    <w:rsid w:val="00F9005F"/>
    <w:rsid w:val="00F956B3"/>
    <w:rsid w:val="00FA2FE1"/>
    <w:rsid w:val="00FA4D7C"/>
    <w:rsid w:val="00FB089C"/>
    <w:rsid w:val="00FB0D81"/>
    <w:rsid w:val="00FB589B"/>
    <w:rsid w:val="00FB5FBC"/>
    <w:rsid w:val="00FB7CA7"/>
    <w:rsid w:val="00FC45D2"/>
    <w:rsid w:val="00FC58A2"/>
    <w:rsid w:val="00FD00AF"/>
    <w:rsid w:val="00FD24F6"/>
    <w:rsid w:val="00FD343C"/>
    <w:rsid w:val="00FD599E"/>
    <w:rsid w:val="00FD5AC0"/>
    <w:rsid w:val="00FD71BA"/>
    <w:rsid w:val="00FE1839"/>
    <w:rsid w:val="00FE4EA9"/>
    <w:rsid w:val="00FE5D8D"/>
    <w:rsid w:val="00FE7C5D"/>
    <w:rsid w:val="00FF2D87"/>
    <w:rsid w:val="00FF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93B9"/>
  <w14:defaultImageDpi w14:val="32767"/>
  <w15:docId w15:val="{DCDBFC1B-EFB0-4781-B3E0-EF36C86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5CF"/>
    <w:rPr>
      <w:rFonts w:ascii="Times New Roman" w:eastAsia="MS Mincho"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6F25CF"/>
    <w:rPr>
      <w:sz w:val="20"/>
      <w:szCs w:val="20"/>
    </w:rPr>
  </w:style>
  <w:style w:type="character" w:customStyle="1" w:styleId="VoetnoottekstChar">
    <w:name w:val="Voetnoottekst Char"/>
    <w:basedOn w:val="Standaardalinea-lettertype"/>
    <w:link w:val="Voetnoottekst"/>
    <w:semiHidden/>
    <w:rsid w:val="006F25CF"/>
    <w:rPr>
      <w:rFonts w:ascii="Times New Roman" w:eastAsia="MS Mincho" w:hAnsi="Times New Roman" w:cs="Times New Roman"/>
      <w:sz w:val="20"/>
      <w:szCs w:val="20"/>
      <w:lang w:eastAsia="nl-NL"/>
    </w:rPr>
  </w:style>
  <w:style w:type="character" w:styleId="Voetnootmarkering">
    <w:name w:val="footnote reference"/>
    <w:basedOn w:val="Standaardalinea-lettertype"/>
    <w:semiHidden/>
    <w:rsid w:val="006F25CF"/>
    <w:rPr>
      <w:vertAlign w:val="superscript"/>
    </w:rPr>
  </w:style>
  <w:style w:type="character" w:styleId="Verwijzingopmerking">
    <w:name w:val="annotation reference"/>
    <w:basedOn w:val="Standaardalinea-lettertype"/>
    <w:uiPriority w:val="99"/>
    <w:semiHidden/>
    <w:unhideWhenUsed/>
    <w:rsid w:val="00055456"/>
    <w:rPr>
      <w:sz w:val="16"/>
      <w:szCs w:val="16"/>
    </w:rPr>
  </w:style>
  <w:style w:type="paragraph" w:styleId="Tekstopmerking">
    <w:name w:val="annotation text"/>
    <w:basedOn w:val="Standaard"/>
    <w:link w:val="TekstopmerkingChar"/>
    <w:uiPriority w:val="99"/>
    <w:semiHidden/>
    <w:unhideWhenUsed/>
    <w:rsid w:val="00055456"/>
    <w:rPr>
      <w:sz w:val="20"/>
      <w:szCs w:val="20"/>
    </w:rPr>
  </w:style>
  <w:style w:type="character" w:customStyle="1" w:styleId="TekstopmerkingChar">
    <w:name w:val="Tekst opmerking Char"/>
    <w:basedOn w:val="Standaardalinea-lettertype"/>
    <w:link w:val="Tekstopmerking"/>
    <w:uiPriority w:val="99"/>
    <w:semiHidden/>
    <w:rsid w:val="00055456"/>
    <w:rPr>
      <w:rFonts w:ascii="Times New Roman" w:eastAsia="MS Mincho"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55456"/>
    <w:rPr>
      <w:b/>
      <w:bCs/>
    </w:rPr>
  </w:style>
  <w:style w:type="character" w:customStyle="1" w:styleId="OnderwerpvanopmerkingChar">
    <w:name w:val="Onderwerp van opmerking Char"/>
    <w:basedOn w:val="TekstopmerkingChar"/>
    <w:link w:val="Onderwerpvanopmerking"/>
    <w:uiPriority w:val="99"/>
    <w:semiHidden/>
    <w:rsid w:val="00055456"/>
    <w:rPr>
      <w:rFonts w:ascii="Times New Roman" w:eastAsia="MS Mincho" w:hAnsi="Times New Roman" w:cs="Times New Roman"/>
      <w:b/>
      <w:bCs/>
      <w:sz w:val="20"/>
      <w:szCs w:val="20"/>
      <w:lang w:eastAsia="nl-NL"/>
    </w:rPr>
  </w:style>
  <w:style w:type="paragraph" w:styleId="Ballontekst">
    <w:name w:val="Balloon Text"/>
    <w:basedOn w:val="Standaard"/>
    <w:link w:val="BallontekstChar"/>
    <w:uiPriority w:val="99"/>
    <w:semiHidden/>
    <w:unhideWhenUsed/>
    <w:rsid w:val="0005545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5456"/>
    <w:rPr>
      <w:rFonts w:ascii="Tahoma" w:eastAsia="MS Mincho" w:hAnsi="Tahoma" w:cs="Tahoma"/>
      <w:sz w:val="16"/>
      <w:szCs w:val="16"/>
      <w:lang w:eastAsia="nl-NL"/>
    </w:rPr>
  </w:style>
  <w:style w:type="paragraph" w:styleId="Koptekst">
    <w:name w:val="header"/>
    <w:basedOn w:val="Standaard"/>
    <w:link w:val="KoptekstChar"/>
    <w:uiPriority w:val="99"/>
    <w:unhideWhenUsed/>
    <w:rsid w:val="001005D3"/>
    <w:pPr>
      <w:tabs>
        <w:tab w:val="center" w:pos="4536"/>
        <w:tab w:val="right" w:pos="9072"/>
      </w:tabs>
    </w:pPr>
  </w:style>
  <w:style w:type="character" w:customStyle="1" w:styleId="KoptekstChar">
    <w:name w:val="Koptekst Char"/>
    <w:basedOn w:val="Standaardalinea-lettertype"/>
    <w:link w:val="Koptekst"/>
    <w:uiPriority w:val="99"/>
    <w:rsid w:val="001005D3"/>
    <w:rPr>
      <w:rFonts w:ascii="Times New Roman" w:eastAsia="MS Mincho" w:hAnsi="Times New Roman" w:cs="Times New Roman"/>
      <w:lang w:eastAsia="nl-NL"/>
    </w:rPr>
  </w:style>
  <w:style w:type="paragraph" w:styleId="Voettekst">
    <w:name w:val="footer"/>
    <w:basedOn w:val="Standaard"/>
    <w:link w:val="VoettekstChar"/>
    <w:uiPriority w:val="99"/>
    <w:unhideWhenUsed/>
    <w:rsid w:val="001005D3"/>
    <w:pPr>
      <w:tabs>
        <w:tab w:val="center" w:pos="4536"/>
        <w:tab w:val="right" w:pos="9072"/>
      </w:tabs>
    </w:pPr>
  </w:style>
  <w:style w:type="character" w:customStyle="1" w:styleId="VoettekstChar">
    <w:name w:val="Voettekst Char"/>
    <w:basedOn w:val="Standaardalinea-lettertype"/>
    <w:link w:val="Voettekst"/>
    <w:uiPriority w:val="99"/>
    <w:rsid w:val="001005D3"/>
    <w:rPr>
      <w:rFonts w:ascii="Times New Roman" w:eastAsia="MS Mincho" w:hAnsi="Times New Roman" w:cs="Times New Roman"/>
      <w:lang w:eastAsia="nl-NL"/>
    </w:rPr>
  </w:style>
  <w:style w:type="paragraph" w:styleId="Eindnoottekst">
    <w:name w:val="endnote text"/>
    <w:basedOn w:val="Standaard"/>
    <w:link w:val="EindnoottekstChar"/>
    <w:uiPriority w:val="99"/>
    <w:semiHidden/>
    <w:unhideWhenUsed/>
    <w:rsid w:val="008825E8"/>
    <w:rPr>
      <w:sz w:val="20"/>
      <w:szCs w:val="20"/>
    </w:rPr>
  </w:style>
  <w:style w:type="character" w:customStyle="1" w:styleId="EindnoottekstChar">
    <w:name w:val="Eindnoottekst Char"/>
    <w:basedOn w:val="Standaardalinea-lettertype"/>
    <w:link w:val="Eindnoottekst"/>
    <w:uiPriority w:val="99"/>
    <w:semiHidden/>
    <w:rsid w:val="008825E8"/>
    <w:rPr>
      <w:rFonts w:ascii="Times New Roman" w:eastAsia="MS Mincho" w:hAnsi="Times New Roman" w:cs="Times New Roman"/>
      <w:sz w:val="20"/>
      <w:szCs w:val="20"/>
      <w:lang w:eastAsia="nl-NL"/>
    </w:rPr>
  </w:style>
  <w:style w:type="character" w:styleId="Eindnootmarkering">
    <w:name w:val="endnote reference"/>
    <w:basedOn w:val="Standaardalinea-lettertype"/>
    <w:uiPriority w:val="99"/>
    <w:semiHidden/>
    <w:unhideWhenUsed/>
    <w:rsid w:val="0088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38BD-168F-624C-AC45-0D628EF4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2694</Words>
  <Characters>14579</Characters>
  <Application>Microsoft Office Word</Application>
  <DocSecurity>0</DocSecurity>
  <Lines>303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Schipper Legal</Company>
  <LinksUpToDate>false</LinksUpToDate>
  <CharactersWithSpaces>17202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Schipper</dc:creator>
  <cp:keywords/>
  <dc:description/>
  <cp:lastModifiedBy>Microsoft Office User</cp:lastModifiedBy>
  <cp:revision>3</cp:revision>
  <cp:lastPrinted>2019-09-16T14:45:00Z</cp:lastPrinted>
  <dcterms:created xsi:type="dcterms:W3CDTF">2020-05-08T14:55:00Z</dcterms:created>
  <dcterms:modified xsi:type="dcterms:W3CDTF">2020-05-08T14:57:00Z</dcterms:modified>
  <cp:category/>
</cp:coreProperties>
</file>