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0A5" w14:textId="2116482C" w:rsidR="004F27BA" w:rsidRPr="00076B66" w:rsidRDefault="00076B66" w:rsidP="004F27BA">
      <w:pPr>
        <w:rPr>
          <w:b/>
          <w:bCs/>
          <w:sz w:val="26"/>
          <w:szCs w:val="26"/>
        </w:rPr>
      </w:pPr>
      <w:r w:rsidRPr="00076B66">
        <w:rPr>
          <w:b/>
          <w:bCs/>
          <w:sz w:val="26"/>
          <w:szCs w:val="26"/>
        </w:rPr>
        <w:t>Applied Genomic Selection for Plant Breeders</w:t>
      </w:r>
    </w:p>
    <w:p w14:paraId="755C16DA" w14:textId="77777777" w:rsidR="00076B66" w:rsidRDefault="00076B66" w:rsidP="004F27BA"/>
    <w:p w14:paraId="7A228B01" w14:textId="1D107955" w:rsidR="002605A8" w:rsidRDefault="00076B66" w:rsidP="00076B66">
      <w:r>
        <w:t>In this 1-day course, we will</w:t>
      </w:r>
      <w:r w:rsidR="002605A8">
        <w:t xml:space="preserve"> focus on the fundamentals of</w:t>
      </w:r>
      <w:r>
        <w:t xml:space="preserve"> applying</w:t>
      </w:r>
      <w:r w:rsidR="002605A8">
        <w:t xml:space="preserve"> Genomic Prediction </w:t>
      </w:r>
      <w:r>
        <w:t xml:space="preserve">for plant breeding program </w:t>
      </w:r>
      <w:r w:rsidR="002605A8">
        <w:t>by fitting several linear mixed models (LMM) using different</w:t>
      </w:r>
      <w:r>
        <w:t xml:space="preserve"> statistical</w:t>
      </w:r>
      <w:r w:rsidR="002605A8">
        <w:t xml:space="preserve"> methodologies. An array of R libraries will be used in this course including </w:t>
      </w:r>
      <w:r>
        <w:t xml:space="preserve">BGLR (Bayes A, Bayes B) and </w:t>
      </w:r>
      <w:proofErr w:type="spellStart"/>
      <w:r>
        <w:t>ASRem</w:t>
      </w:r>
      <w:r w:rsidR="002605A8">
        <w:t>l</w:t>
      </w:r>
      <w:proofErr w:type="spellEnd"/>
      <w:r w:rsidR="002605A8">
        <w:t>-R</w:t>
      </w:r>
      <w:r>
        <w:t xml:space="preserve"> (GBLUP)</w:t>
      </w:r>
      <w:r w:rsidR="002605A8">
        <w:t>.</w:t>
      </w:r>
      <w:r>
        <w:t xml:space="preserve"> This course will use real datasets and will focus on </w:t>
      </w:r>
      <w:r w:rsidR="002605A8">
        <w:t>interpret</w:t>
      </w:r>
      <w:r>
        <w:t>ation of</w:t>
      </w:r>
      <w:r w:rsidR="002605A8">
        <w:t xml:space="preserve"> results and discuss </w:t>
      </w:r>
      <w:r>
        <w:t xml:space="preserve">practical </w:t>
      </w:r>
      <w:r w:rsidR="002605A8">
        <w:t>implications of the use of genomic prediction models in the context of operational breeding programs</w:t>
      </w:r>
      <w:r>
        <w:t xml:space="preserve"> and their strategies</w:t>
      </w:r>
      <w:r w:rsidR="002605A8">
        <w:t>. For this course, it is recommended that you have some basic understanding of linear models and be familiar with the statistical package R.</w:t>
      </w:r>
      <w:r>
        <w:t xml:space="preserve"> Mathematical expressions will be kept to a minimum.</w:t>
      </w:r>
    </w:p>
    <w:p w14:paraId="5A777433" w14:textId="77777777" w:rsidR="00076B66" w:rsidRDefault="00076B66" w:rsidP="00076B66"/>
    <w:p w14:paraId="63E71ECF" w14:textId="1F7F1820" w:rsidR="00076B66" w:rsidRDefault="00076B66" w:rsidP="00076B66">
      <w:r>
        <w:t xml:space="preserve">Place: </w:t>
      </w:r>
      <w:r>
        <w:tab/>
      </w:r>
      <w:r>
        <w:tab/>
      </w:r>
      <w:r w:rsidRPr="004F27BA">
        <w:t xml:space="preserve">WCR Global Breeders Workshop at </w:t>
      </w:r>
      <w:proofErr w:type="spellStart"/>
      <w:r w:rsidRPr="004F27BA">
        <w:t>Cenicafe</w:t>
      </w:r>
      <w:proofErr w:type="spellEnd"/>
      <w:r w:rsidRPr="004F27BA">
        <w:t xml:space="preserve"> in Colombia</w:t>
      </w:r>
      <w:r>
        <w:t>.</w:t>
      </w:r>
    </w:p>
    <w:p w14:paraId="75B802AF" w14:textId="1150CD1B" w:rsidR="002605A8" w:rsidRDefault="00076B66" w:rsidP="004F27BA">
      <w:r>
        <w:t xml:space="preserve">Date: </w:t>
      </w:r>
      <w:r>
        <w:tab/>
      </w:r>
      <w:r>
        <w:tab/>
        <w:t>November 21</w:t>
      </w:r>
      <w:r w:rsidRPr="00076B66">
        <w:rPr>
          <w:vertAlign w:val="superscript"/>
        </w:rPr>
        <w:t>st</w:t>
      </w:r>
      <w:r>
        <w:t>, 2025</w:t>
      </w:r>
    </w:p>
    <w:p w14:paraId="1AD5FA51" w14:textId="3DE2B65B" w:rsidR="00076B66" w:rsidRPr="00076B66" w:rsidRDefault="00076B66" w:rsidP="004F27BA">
      <w:pPr>
        <w:rPr>
          <w:lang w:val="es-BO"/>
        </w:rPr>
      </w:pPr>
      <w:r w:rsidRPr="00076B66">
        <w:rPr>
          <w:lang w:val="es-BO"/>
        </w:rPr>
        <w:t>Instructor:</w:t>
      </w:r>
      <w:r w:rsidRPr="00076B66">
        <w:rPr>
          <w:lang w:val="es-BO"/>
        </w:rPr>
        <w:tab/>
        <w:t xml:space="preserve">Dr. Salvador A. Gezan </w:t>
      </w:r>
    </w:p>
    <w:p w14:paraId="12A7D581" w14:textId="77777777" w:rsidR="004F27BA" w:rsidRPr="00076B66" w:rsidRDefault="004F27BA" w:rsidP="004F27BA">
      <w:pPr>
        <w:rPr>
          <w:lang w:val="es-BO"/>
        </w:rPr>
      </w:pPr>
    </w:p>
    <w:p w14:paraId="6F87192F" w14:textId="590C4DF0" w:rsidR="004F27BA" w:rsidRPr="002605A8" w:rsidRDefault="004F27BA" w:rsidP="004F27BA">
      <w:pPr>
        <w:rPr>
          <w:b/>
          <w:bCs/>
        </w:rPr>
      </w:pPr>
      <w:r w:rsidRPr="002605A8">
        <w:rPr>
          <w:b/>
          <w:bCs/>
        </w:rPr>
        <w:t>Schedule</w:t>
      </w:r>
    </w:p>
    <w:p w14:paraId="010A6E62" w14:textId="77777777" w:rsidR="00076B66" w:rsidRDefault="00076B66" w:rsidP="002605A8">
      <w:pPr>
        <w:rPr>
          <w:rFonts w:ascii="Times New Roman" w:eastAsia="Times New Roman" w:hAnsi="Times New Roman" w:cs="Times New Roman"/>
        </w:rPr>
      </w:pPr>
    </w:p>
    <w:p w14:paraId="49FEE2C3" w14:textId="1C0B856D" w:rsidR="002605A8" w:rsidRPr="00722BD0" w:rsidRDefault="002605A8" w:rsidP="002605A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8:00 – 8:30 </w:t>
      </w:r>
      <w:r>
        <w:rPr>
          <w:rFonts w:ascii="Times New Roman" w:eastAsia="Times New Roman" w:hAnsi="Times New Roman" w:cs="Times New Roman"/>
        </w:rPr>
        <w:tab/>
      </w:r>
      <w:r w:rsidRPr="00722BD0">
        <w:rPr>
          <w:rFonts w:ascii="Times New Roman" w:eastAsia="Times New Roman" w:hAnsi="Times New Roman" w:cs="Times New Roman"/>
          <w:b/>
          <w:bCs/>
        </w:rPr>
        <w:t>Set-up</w:t>
      </w:r>
    </w:p>
    <w:p w14:paraId="1E7C0536" w14:textId="32767418" w:rsidR="002605A8" w:rsidRPr="00CB65DD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8:30 –10:00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Session 1</w:t>
      </w:r>
    </w:p>
    <w:p w14:paraId="16E09C19" w14:textId="77777777" w:rsidR="002605A8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10:00 – 10:30</w:t>
      </w:r>
      <w:r>
        <w:rPr>
          <w:rFonts w:ascii="Times New Roman" w:eastAsia="Times New Roman" w:hAnsi="Times New Roman" w:cs="Times New Roman"/>
        </w:rPr>
        <w:tab/>
      </w:r>
      <w:r w:rsidRPr="00722BD0">
        <w:rPr>
          <w:rFonts w:ascii="Times New Roman" w:eastAsia="Times New Roman" w:hAnsi="Times New Roman" w:cs="Times New Roman"/>
          <w:b/>
          <w:bCs/>
        </w:rPr>
        <w:t>Coffee Break</w:t>
      </w:r>
    </w:p>
    <w:p w14:paraId="0D54D3B9" w14:textId="7CBD2C9A" w:rsidR="002605A8" w:rsidRPr="00CB65DD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10:30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12:30</w:t>
      </w:r>
      <w:r w:rsidRPr="00CB65D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Session 2</w:t>
      </w:r>
      <w:r w:rsidRPr="00CB65DD">
        <w:rPr>
          <w:rFonts w:ascii="Times New Roman" w:eastAsia="Times New Roman" w:hAnsi="Times New Roman" w:cs="Times New Roman"/>
        </w:rPr>
        <w:t xml:space="preserve"> </w:t>
      </w:r>
    </w:p>
    <w:p w14:paraId="0A4B0813" w14:textId="77777777" w:rsidR="002605A8" w:rsidRPr="00722BD0" w:rsidRDefault="002605A8" w:rsidP="002605A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12:30 –14:00</w:t>
      </w:r>
      <w:r>
        <w:rPr>
          <w:rFonts w:ascii="Times New Roman" w:eastAsia="Times New Roman" w:hAnsi="Times New Roman" w:cs="Times New Roman"/>
        </w:rPr>
        <w:tab/>
      </w:r>
      <w:r w:rsidRPr="00722BD0">
        <w:rPr>
          <w:rFonts w:ascii="Times New Roman" w:eastAsia="Times New Roman" w:hAnsi="Times New Roman" w:cs="Times New Roman"/>
          <w:b/>
          <w:bCs/>
        </w:rPr>
        <w:t>Lunch Break</w:t>
      </w:r>
    </w:p>
    <w:p w14:paraId="2E3E173A" w14:textId="3F92BF3E" w:rsidR="002605A8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14:00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15:30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Session 3</w:t>
      </w:r>
    </w:p>
    <w:p w14:paraId="1F0DC6BE" w14:textId="77777777" w:rsidR="002605A8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15:30 – 16:00</w:t>
      </w:r>
      <w:r>
        <w:rPr>
          <w:rFonts w:ascii="Times New Roman" w:eastAsia="Times New Roman" w:hAnsi="Times New Roman" w:cs="Times New Roman"/>
        </w:rPr>
        <w:tab/>
      </w:r>
      <w:r w:rsidRPr="00722BD0">
        <w:rPr>
          <w:rFonts w:ascii="Times New Roman" w:eastAsia="Times New Roman" w:hAnsi="Times New Roman" w:cs="Times New Roman"/>
          <w:b/>
          <w:bCs/>
        </w:rPr>
        <w:t>Coffee Break</w:t>
      </w:r>
    </w:p>
    <w:p w14:paraId="6E8E231D" w14:textId="22822A59" w:rsidR="002605A8" w:rsidRPr="00CB65DD" w:rsidRDefault="002605A8" w:rsidP="002605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16:00 – 17:30</w:t>
      </w:r>
      <w:r w:rsidRPr="00CB65D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Session 4</w:t>
      </w:r>
    </w:p>
    <w:p w14:paraId="3036E35A" w14:textId="77777777" w:rsidR="002605A8" w:rsidRDefault="002605A8" w:rsidP="004F27BA"/>
    <w:p w14:paraId="5C9B02CD" w14:textId="77777777" w:rsidR="004F27BA" w:rsidRDefault="004F27BA" w:rsidP="004F27BA"/>
    <w:p w14:paraId="4DA5694E" w14:textId="4D6EF18B" w:rsidR="004F27BA" w:rsidRDefault="002605A8" w:rsidP="004F27B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Topics</w:t>
      </w:r>
    </w:p>
    <w:p w14:paraId="241DC51F" w14:textId="77777777" w:rsidR="00076B66" w:rsidRDefault="00076B66" w:rsidP="004F27BA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2605A8" w14:paraId="5D9138D4" w14:textId="77777777" w:rsidTr="00284A2C">
        <w:tc>
          <w:tcPr>
            <w:tcW w:w="1271" w:type="dxa"/>
          </w:tcPr>
          <w:p w14:paraId="7BDCFC04" w14:textId="77777777" w:rsidR="002605A8" w:rsidRDefault="002605A8" w:rsidP="002605A8">
            <w:r>
              <w:t>1</w:t>
            </w:r>
          </w:p>
        </w:tc>
        <w:tc>
          <w:tcPr>
            <w:tcW w:w="7745" w:type="dxa"/>
          </w:tcPr>
          <w:p w14:paraId="67BD2069" w14:textId="6FB94AE1" w:rsidR="002605A8" w:rsidRDefault="002605A8" w:rsidP="002605A8">
            <w:r>
              <w:t>Introduction to Genomic Selection</w:t>
            </w:r>
          </w:p>
        </w:tc>
      </w:tr>
      <w:tr w:rsidR="002605A8" w14:paraId="6838113A" w14:textId="77777777" w:rsidTr="00284A2C">
        <w:tc>
          <w:tcPr>
            <w:tcW w:w="1271" w:type="dxa"/>
          </w:tcPr>
          <w:p w14:paraId="273E114E" w14:textId="77777777" w:rsidR="002605A8" w:rsidRDefault="002605A8" w:rsidP="00284A2C">
            <w:r>
              <w:t>2</w:t>
            </w:r>
          </w:p>
        </w:tc>
        <w:tc>
          <w:tcPr>
            <w:tcW w:w="7745" w:type="dxa"/>
          </w:tcPr>
          <w:p w14:paraId="132AB395" w14:textId="77777777" w:rsidR="002605A8" w:rsidRDefault="002605A8" w:rsidP="00284A2C">
            <w:r>
              <w:t>Preparing Phenotypic and Genotypic Data</w:t>
            </w:r>
          </w:p>
        </w:tc>
      </w:tr>
      <w:tr w:rsidR="002605A8" w14:paraId="6BDE93B9" w14:textId="77777777" w:rsidTr="00284A2C">
        <w:tc>
          <w:tcPr>
            <w:tcW w:w="1271" w:type="dxa"/>
          </w:tcPr>
          <w:p w14:paraId="49F9BD74" w14:textId="77777777" w:rsidR="002605A8" w:rsidRDefault="002605A8" w:rsidP="00284A2C">
            <w:r>
              <w:t>3</w:t>
            </w:r>
          </w:p>
        </w:tc>
        <w:tc>
          <w:tcPr>
            <w:tcW w:w="7745" w:type="dxa"/>
          </w:tcPr>
          <w:p w14:paraId="0CE5EDC0" w14:textId="77777777" w:rsidR="002605A8" w:rsidRDefault="002605A8" w:rsidP="00284A2C">
            <w:r>
              <w:t>Obtaining a Relationship / Kinship Matrix</w:t>
            </w:r>
          </w:p>
        </w:tc>
      </w:tr>
      <w:tr w:rsidR="002605A8" w14:paraId="538D6A87" w14:textId="77777777" w:rsidTr="00284A2C">
        <w:tc>
          <w:tcPr>
            <w:tcW w:w="1271" w:type="dxa"/>
          </w:tcPr>
          <w:p w14:paraId="54D60A28" w14:textId="77777777" w:rsidR="002605A8" w:rsidRDefault="002605A8" w:rsidP="00284A2C">
            <w:r>
              <w:t>4</w:t>
            </w:r>
          </w:p>
        </w:tc>
        <w:tc>
          <w:tcPr>
            <w:tcW w:w="7745" w:type="dxa"/>
          </w:tcPr>
          <w:p w14:paraId="32507461" w14:textId="77777777" w:rsidR="002605A8" w:rsidRDefault="002605A8" w:rsidP="00284A2C">
            <w:r>
              <w:t>Animal Model</w:t>
            </w:r>
          </w:p>
        </w:tc>
      </w:tr>
      <w:tr w:rsidR="002605A8" w14:paraId="7D901B4A" w14:textId="77777777" w:rsidTr="00284A2C">
        <w:tc>
          <w:tcPr>
            <w:tcW w:w="1271" w:type="dxa"/>
          </w:tcPr>
          <w:p w14:paraId="6C33628B" w14:textId="685B45F6" w:rsidR="002605A8" w:rsidRDefault="002605A8" w:rsidP="00284A2C">
            <w:r>
              <w:t>5</w:t>
            </w:r>
          </w:p>
        </w:tc>
        <w:tc>
          <w:tcPr>
            <w:tcW w:w="7745" w:type="dxa"/>
          </w:tcPr>
          <w:p w14:paraId="0A586E67" w14:textId="327A905A" w:rsidR="002605A8" w:rsidRDefault="002605A8" w:rsidP="00284A2C">
            <w:r>
              <w:t xml:space="preserve">Fitting and </w:t>
            </w:r>
            <w:r>
              <w:t>Evaluation of a GS Model</w:t>
            </w:r>
            <w:r>
              <w:t>: Overview of Methods</w:t>
            </w:r>
          </w:p>
        </w:tc>
      </w:tr>
      <w:tr w:rsidR="002605A8" w14:paraId="07BF664E" w14:textId="77777777" w:rsidTr="00284A2C">
        <w:tc>
          <w:tcPr>
            <w:tcW w:w="1271" w:type="dxa"/>
          </w:tcPr>
          <w:p w14:paraId="1C73D6BA" w14:textId="2BDC946D" w:rsidR="002605A8" w:rsidRDefault="002605A8" w:rsidP="00284A2C">
            <w:r>
              <w:t>6</w:t>
            </w:r>
          </w:p>
        </w:tc>
        <w:tc>
          <w:tcPr>
            <w:tcW w:w="7745" w:type="dxa"/>
          </w:tcPr>
          <w:p w14:paraId="23016654" w14:textId="77777777" w:rsidR="002605A8" w:rsidRDefault="002605A8" w:rsidP="00284A2C">
            <w:r>
              <w:t>Bayesian GS Methods with BGLR</w:t>
            </w:r>
          </w:p>
        </w:tc>
      </w:tr>
      <w:tr w:rsidR="002605A8" w14:paraId="58725D8D" w14:textId="77777777" w:rsidTr="00284A2C">
        <w:tc>
          <w:tcPr>
            <w:tcW w:w="1271" w:type="dxa"/>
          </w:tcPr>
          <w:p w14:paraId="30B3068B" w14:textId="7B1B0FEA" w:rsidR="002605A8" w:rsidRDefault="002605A8" w:rsidP="00284A2C">
            <w:r>
              <w:t>7</w:t>
            </w:r>
          </w:p>
        </w:tc>
        <w:tc>
          <w:tcPr>
            <w:tcW w:w="7745" w:type="dxa"/>
          </w:tcPr>
          <w:p w14:paraId="5F0EDE48" w14:textId="77777777" w:rsidR="002605A8" w:rsidRDefault="002605A8" w:rsidP="00284A2C">
            <w:r>
              <w:t xml:space="preserve">Genomic-BLUP (GBLUP) with </w:t>
            </w:r>
            <w:proofErr w:type="spellStart"/>
            <w:r>
              <w:t>ASReml</w:t>
            </w:r>
            <w:proofErr w:type="spellEnd"/>
            <w:r>
              <w:t>-R</w:t>
            </w:r>
          </w:p>
        </w:tc>
      </w:tr>
      <w:tr w:rsidR="002605A8" w14:paraId="4CBE5A76" w14:textId="77777777" w:rsidTr="00284A2C">
        <w:tc>
          <w:tcPr>
            <w:tcW w:w="1271" w:type="dxa"/>
          </w:tcPr>
          <w:p w14:paraId="3AC3E431" w14:textId="6F6EB3DD" w:rsidR="002605A8" w:rsidRDefault="002605A8" w:rsidP="00284A2C">
            <w:r>
              <w:t>8</w:t>
            </w:r>
          </w:p>
        </w:tc>
        <w:tc>
          <w:tcPr>
            <w:tcW w:w="7745" w:type="dxa"/>
          </w:tcPr>
          <w:p w14:paraId="0815F0AA" w14:textId="77777777" w:rsidR="002605A8" w:rsidRDefault="002605A8" w:rsidP="00284A2C">
            <w:r>
              <w:t>Complex GBLUP Analyses</w:t>
            </w:r>
          </w:p>
        </w:tc>
      </w:tr>
      <w:tr w:rsidR="002605A8" w14:paraId="3D285645" w14:textId="77777777" w:rsidTr="00284A2C">
        <w:tc>
          <w:tcPr>
            <w:tcW w:w="1271" w:type="dxa"/>
          </w:tcPr>
          <w:p w14:paraId="3DA13D41" w14:textId="1799E744" w:rsidR="002605A8" w:rsidRDefault="002605A8" w:rsidP="00284A2C">
            <w:r>
              <w:t>9</w:t>
            </w:r>
          </w:p>
        </w:tc>
        <w:tc>
          <w:tcPr>
            <w:tcW w:w="7745" w:type="dxa"/>
          </w:tcPr>
          <w:p w14:paraId="6DB7BF07" w14:textId="77777777" w:rsidR="002605A8" w:rsidRDefault="002605A8" w:rsidP="00284A2C">
            <w:r>
              <w:t>Incorporating Genomic Selection in a Breeding Strategy</w:t>
            </w:r>
          </w:p>
        </w:tc>
      </w:tr>
    </w:tbl>
    <w:p w14:paraId="52E98EE9" w14:textId="77777777" w:rsidR="002605A8" w:rsidRDefault="002605A8" w:rsidP="004F27BA">
      <w:pPr>
        <w:rPr>
          <w:rFonts w:ascii="Times New Roman" w:eastAsia="Times New Roman" w:hAnsi="Times New Roman" w:cs="Times New Roman"/>
        </w:rPr>
      </w:pPr>
    </w:p>
    <w:p w14:paraId="1D003702" w14:textId="77777777" w:rsidR="004F27BA" w:rsidRDefault="004F27BA" w:rsidP="004F27BA"/>
    <w:p w14:paraId="14EEB758" w14:textId="77777777" w:rsidR="004F27BA" w:rsidRPr="00076B66" w:rsidRDefault="004F27BA" w:rsidP="004F27BA">
      <w:pPr>
        <w:rPr>
          <w:b/>
          <w:bCs/>
        </w:rPr>
      </w:pPr>
      <w:r w:rsidRPr="00076B66">
        <w:rPr>
          <w:b/>
          <w:bCs/>
        </w:rPr>
        <w:t>Training Methods</w:t>
      </w:r>
    </w:p>
    <w:p w14:paraId="573CE167" w14:textId="77777777" w:rsidR="004F27BA" w:rsidRDefault="004F27BA" w:rsidP="004F27BA"/>
    <w:p w14:paraId="4B7E38B3" w14:textId="106493A4" w:rsidR="004F27BA" w:rsidRDefault="004F27BA" w:rsidP="004F27BA">
      <w:r>
        <w:t>Th</w:t>
      </w:r>
      <w:r>
        <w:t>is training will be in-person wi</w:t>
      </w:r>
      <w:r>
        <w:t>th presentations and practical sessions, which utilize real data.</w:t>
      </w:r>
      <w:r>
        <w:t xml:space="preserve"> In order to follow the examples, p</w:t>
      </w:r>
      <w:r>
        <w:t>articipants should have their own computer with R-Studio and</w:t>
      </w:r>
      <w:r>
        <w:t xml:space="preserve"> a few R libraries will be required to be pre-installed.</w:t>
      </w:r>
    </w:p>
    <w:p w14:paraId="4B4090AA" w14:textId="77777777" w:rsidR="004F27BA" w:rsidRDefault="004F27BA" w:rsidP="004F27BA"/>
    <w:p w14:paraId="452ED602" w14:textId="7558EC7E" w:rsidR="004F27BA" w:rsidRPr="004F27BA" w:rsidRDefault="004F27BA" w:rsidP="004F27BA">
      <w:r>
        <w:t xml:space="preserve">We will provide a full license of </w:t>
      </w:r>
      <w:proofErr w:type="spellStart"/>
      <w:r>
        <w:t>ASReml</w:t>
      </w:r>
      <w:proofErr w:type="spellEnd"/>
      <w:r>
        <w:t xml:space="preserve">-R 4.2 for 90 days. This can be installed in PC (under Windows operative system) and Mac computers. A week before the workshop you will receive instructions to install the software, it is your responsibility to make sure your computer is running properly with </w:t>
      </w:r>
      <w:r>
        <w:t>all the required libraries. And links will be provided to download the training material.</w:t>
      </w:r>
    </w:p>
    <w:sectPr w:rsidR="004F27BA" w:rsidRPr="004F2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BA"/>
    <w:rsid w:val="00043B3D"/>
    <w:rsid w:val="00076B66"/>
    <w:rsid w:val="002605A8"/>
    <w:rsid w:val="00455BD7"/>
    <w:rsid w:val="004F27BA"/>
    <w:rsid w:val="009268CE"/>
    <w:rsid w:val="00AE63A2"/>
    <w:rsid w:val="00D312BF"/>
    <w:rsid w:val="00D532B3"/>
    <w:rsid w:val="00EC1A03"/>
    <w:rsid w:val="00F2102F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1351"/>
  <w15:chartTrackingRefBased/>
  <w15:docId w15:val="{8353A46D-0AAF-4362-A201-CD97995F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BA"/>
  </w:style>
  <w:style w:type="paragraph" w:styleId="Heading1">
    <w:name w:val="heading 1"/>
    <w:basedOn w:val="Normal"/>
    <w:next w:val="Normal"/>
    <w:link w:val="Heading1Char"/>
    <w:uiPriority w:val="9"/>
    <w:qFormat/>
    <w:rsid w:val="004F2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7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Gezan</dc:creator>
  <cp:keywords/>
  <dc:description/>
  <cp:lastModifiedBy>Salvador Gezan</cp:lastModifiedBy>
  <cp:revision>2</cp:revision>
  <dcterms:created xsi:type="dcterms:W3CDTF">2025-10-13T20:28:00Z</dcterms:created>
  <dcterms:modified xsi:type="dcterms:W3CDTF">2025-10-13T20:28:00Z</dcterms:modified>
</cp:coreProperties>
</file>